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001-35986</w:t>
      </w:r>
      <w:r>
        <w:rPr>
          <w:color w:val="000000"/>
        </w:rPr>
        <w:t xml:space="preserve">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Esperion Therapeutics, Inc.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017" w:type="dxa"/>
        <w:jc w:val="left"/>
        <w:tblInd w:w="0" w:type="dxa"/>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26-1870780</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3891 Ranchero Drive, Suite 150 </w:t>
      </w:r>
    </w:p>
    <w:p>
      <w:pPr>
        <w:pStyle w:val="TextBody"/>
        <w:spacing w:lineRule="auto" w:line="288" w:before="0" w:after="0"/>
        <w:jc w:val="center"/>
        <w:rPr/>
      </w:pPr>
      <w:r>
        <w:rPr>
          <w:rFonts w:ascii="Times New Roman;sans-serif" w:hAnsi="Times New Roman;sans-serif"/>
          <w:b/>
          <w:color w:val="000000"/>
          <w:sz w:val="18"/>
        </w:rPr>
        <w:t>Ann Arbor,</w:t>
      </w:r>
      <w:r>
        <w:rPr>
          <w:color w:val="000000"/>
        </w:rPr>
        <w:t xml:space="preserve"> </w:t>
      </w:r>
      <w:r>
        <w:rPr>
          <w:rFonts w:ascii="Times New Roman;sans-serif" w:hAnsi="Times New Roman;sans-serif"/>
          <w:b/>
          <w:color w:val="000000"/>
          <w:sz w:val="18"/>
        </w:rPr>
        <w:t>MI</w:t>
      </w:r>
      <w:r>
        <w:rPr>
          <w:color w:val="000000"/>
        </w:rPr>
        <w:t xml:space="preserve"> </w:t>
      </w:r>
      <w:r>
        <w:rPr>
          <w:rFonts w:ascii="Times New Roman;sans-serif" w:hAnsi="Times New Roman;sans-serif"/>
          <w:b/>
          <w:color w:val="000000"/>
          <w:sz w:val="18"/>
        </w:rPr>
        <w:t>48108</w:t>
      </w:r>
      <w:r>
        <w:rPr>
          <w:color w:val="000000"/>
        </w:rPr>
        <w:t xml:space="preserve">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 (Zip Code)</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0" w:after="0"/>
        <w:jc w:val="center"/>
        <w:rPr/>
      </w:pPr>
      <w:r>
        <w:rPr>
          <w:rFonts w:ascii="Times New Roman;sans-serif" w:hAnsi="Times New Roman;sans-serif"/>
          <w:b/>
          <w:color w:val="000000"/>
          <w:sz w:val="18"/>
        </w:rPr>
        <w:t>(734)</w:t>
      </w:r>
      <w:r>
        <w:rPr>
          <w:color w:val="000000"/>
        </w:rPr>
        <w:t xml:space="preserve"> </w:t>
      </w:r>
      <w:r>
        <w:rPr>
          <w:rFonts w:ascii="Times New Roman;sans-serif" w:hAnsi="Times New Roman;sans-serif"/>
          <w:b/>
          <w:color w:val="000000"/>
          <w:sz w:val="18"/>
        </w:rPr>
        <w:t>887-3903</w:t>
      </w:r>
      <w:r>
        <w:rPr>
          <w:color w:val="000000"/>
        </w:rPr>
        <w:t xml:space="preserve">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572" w:type="dxa"/>
        <w:jc w:val="left"/>
        <w:tblInd w:w="0" w:type="dxa"/>
        <w:tblCellMar>
          <w:top w:w="28" w:type="dxa"/>
          <w:left w:w="28" w:type="dxa"/>
          <w:bottom w:w="28" w:type="dxa"/>
          <w:right w:w="28" w:type="dxa"/>
        </w:tblCellMar>
      </w:tblPr>
      <w:tblGrid>
        <w:gridCol w:w="1139"/>
        <w:gridCol w:w="999"/>
        <w:gridCol w:w="1012"/>
        <w:gridCol w:w="109"/>
        <w:gridCol w:w="109"/>
        <w:gridCol w:w="109"/>
        <w:gridCol w:w="484"/>
        <w:gridCol w:w="484"/>
        <w:gridCol w:w="486"/>
        <w:gridCol w:w="109"/>
        <w:gridCol w:w="109"/>
        <w:gridCol w:w="109"/>
        <w:gridCol w:w="970"/>
        <w:gridCol w:w="970"/>
        <w:gridCol w:w="1374"/>
      </w:tblGrid>
      <w:tr>
        <w:trPr/>
        <w:tc>
          <w:tcPr>
            <w:tcW w:w="113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ESPR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6"/>
              </w:rPr>
              <w:t>NASDAQ</w:t>
            </w:r>
            <w:r>
              <w:rPr>
                <w:color w:val="000000"/>
              </w:rPr>
              <w:t xml:space="preserve"> </w:t>
            </w:r>
            <w:r>
              <w:rPr>
                <w:rFonts w:ascii="Times New Roman;sans-serif" w:hAnsi="Times New Roman;sans-serif"/>
                <w:b w:val="false"/>
                <w:color w:val="000000"/>
                <w:sz w:val="16"/>
              </w:rPr>
              <w:t>Stock Market LLC</w:t>
            </w:r>
          </w:p>
        </w:tc>
      </w:tr>
    </w:tbl>
    <w:p>
      <w:pPr>
        <w:pStyle w:val="TextBody"/>
        <w:spacing w:lineRule="auto" w:line="288" w:before="0" w:after="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0" w:after="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90"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98"/>
        <w:gridCol w:w="698"/>
        <w:gridCol w:w="703"/>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Emerging growth company</w:t>
            </w:r>
            <w:r>
              <w:rPr>
                <w:color w:val="000000"/>
              </w:rPr>
              <w:t xml:space="preserve">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spacing w:lineRule="auto" w:line="288" w:before="0" w:after="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0" w:after="0"/>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As of May 1, 2023, there were 94,712,657 shares of the registrant’s Common Stock, $0.001 par value per share,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59790"/>
                <wp:effectExtent l="0" t="0" r="0" b="0"/>
                <wp:wrapNone/>
                <wp:docPr id="1" name="Frame1"/>
                <a:graphic xmlns:a="http://schemas.openxmlformats.org/drawingml/2006/main">
                  <a:graphicData uri="http://schemas.microsoft.com/office/word/2010/wordprocessingShape">
                    <wps:wsp>
                      <wps:cNvSpPr txBox="1"/>
                      <wps:spPr>
                        <a:xfrm>
                          <a:off x="0" y="0"/>
                          <a:ext cx="6480175" cy="859790"/>
                        </a:xfrm>
                        <a:prstGeom prst="rect"/>
                      </wps:spPr>
                      <wps:txbx>
                        <w:txbxContent>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CellMar>
          <w:top w:w="28" w:type="dxa"/>
          <w:left w:w="28" w:type="dxa"/>
          <w:bottom w:w="28" w:type="dxa"/>
          <w:right w:w="28" w:type="dxa"/>
        </w:tblCellMar>
      </w:tblPr>
      <w:tblGrid>
        <w:gridCol w:w="3108"/>
        <w:gridCol w:w="2594"/>
        <w:gridCol w:w="2579"/>
        <w:gridCol w:w="557"/>
        <w:gridCol w:w="557"/>
        <w:gridCol w:w="810"/>
      </w:tblGrid>
      <w:tr>
        <w:trPr/>
        <w:tc>
          <w:tcPr>
            <w:tcW w:w="3108"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237fb157928404b96a8fc7ef6f6efba_10">
              <w:r>
                <w:rPr>
                  <w:rStyle w:val="InternetLink"/>
                  <w:rFonts w:ascii="Times New Roman;sans-serif" w:hAnsi="Times New Roman;sans-serif"/>
                  <w:b/>
                  <w:color w:val="0000FF"/>
                  <w:sz w:val="20"/>
                  <w:u w:val="single"/>
                </w:rPr>
                <w:t>PART I — FINANCIAL INFORMATION</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3">
              <w:r>
                <w:rPr>
                  <w:rStyle w:val="InternetLink"/>
                  <w:rFonts w:ascii="Times New Roman;sans-serif" w:hAnsi="Times New Roman;sans-serif"/>
                  <w:b w:val="false"/>
                  <w:color w:val="0000FF"/>
                  <w:sz w:val="20"/>
                  <w:u w:val="single"/>
                </w:rPr>
                <w:t>Item 1. Financial Statements</w:t>
              </w:r>
            </w:hyperlink>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6">
              <w:r>
                <w:rPr>
                  <w:rStyle w:val="InternetLink"/>
                </w:rPr>
                <w:t xml:space="preserve">Condensed Balance Sheets at </w:t>
              </w:r>
            </w:hyperlink>
            <w:hyperlink w:anchor="i9237fb157928404b96a8fc7ef6f6efba_16">
              <w:r>
                <w:rPr>
                  <w:rStyle w:val="InternetLink"/>
                </w:rPr>
                <w:t>March</w:t>
              </w:r>
            </w:hyperlink>
            <w:hyperlink w:anchor="i9237fb157928404b96a8fc7ef6f6efba_16">
              <w:r>
                <w:rPr>
                  <w:rStyle w:val="InternetLink"/>
                </w:rPr>
                <w:t xml:space="preserve"> 3</w:t>
              </w:r>
            </w:hyperlink>
            <w:hyperlink w:anchor="i9237fb157928404b96a8fc7ef6f6efba_16">
              <w:r>
                <w:rPr>
                  <w:rStyle w:val="InternetLink"/>
                </w:rPr>
                <w:t>1</w:t>
              </w:r>
            </w:hyperlink>
            <w:hyperlink w:anchor="i9237fb157928404b96a8fc7ef6f6efba_16">
              <w:r>
                <w:rPr>
                  <w:rStyle w:val="InternetLink"/>
                </w:rPr>
                <w:t>, 202</w:t>
              </w:r>
            </w:hyperlink>
            <w:hyperlink w:anchor="i9237fb157928404b96a8fc7ef6f6efba_16">
              <w:r>
                <w:rPr>
                  <w:rStyle w:val="InternetLink"/>
                </w:rPr>
                <w:t>3</w:t>
              </w:r>
            </w:hyperlink>
            <w:hyperlink w:anchor="i9237fb157928404b96a8fc7ef6f6efba_16">
              <w:r>
                <w:rPr>
                  <w:rStyle w:val="InternetLink"/>
                </w:rPr>
                <w:t xml:space="preserve"> and December 31, 202</w:t>
              </w:r>
            </w:hyperlink>
            <w:hyperlink w:anchor="i9237fb157928404b96a8fc7ef6f6efba_16">
              <w:r>
                <w:rPr>
                  <w:rStyle w:val="InternetLink"/>
                </w:rPr>
                <w:t>2</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16">
              <w:r>
                <w:rPr>
                  <w:rStyle w:val="InternetLink"/>
                  <w:rFonts w:ascii="Times New Roman;sans-serif" w:hAnsi="Times New Roman;sans-serif"/>
                  <w:b w:val="false"/>
                  <w:color w:val="0000FF"/>
                  <w:sz w:val="20"/>
                  <w:u w:val="single"/>
                </w:rPr>
                <w:t>3</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9">
              <w:r>
                <w:rPr>
                  <w:rStyle w:val="InternetLink"/>
                </w:rPr>
                <w:t xml:space="preserve">Condensed Statements of Operations and Comprehensive Loss for the three </w:t>
              </w:r>
            </w:hyperlink>
            <w:hyperlink w:anchor="i9237fb157928404b96a8fc7ef6f6efba_19">
              <w:r>
                <w:rPr>
                  <w:rStyle w:val="InternetLink"/>
                </w:rPr>
                <w:t xml:space="preserve">month periods ended </w:t>
              </w:r>
            </w:hyperlink>
            <w:hyperlink w:anchor="i9237fb157928404b96a8fc7ef6f6efba_19">
              <w:r>
                <w:rPr>
                  <w:rStyle w:val="InternetLink"/>
                </w:rPr>
                <w:t>M</w:t>
              </w:r>
            </w:hyperlink>
            <w:hyperlink w:anchor="i9237fb157928404b96a8fc7ef6f6efba_19">
              <w:r>
                <w:rPr>
                  <w:rStyle w:val="InternetLink"/>
                </w:rPr>
                <w:t>arch</w:t>
              </w:r>
            </w:hyperlink>
            <w:hyperlink w:anchor="i9237fb157928404b96a8fc7ef6f6efba_19">
              <w:r>
                <w:rPr>
                  <w:rStyle w:val="InternetLink"/>
                </w:rPr>
                <w:t xml:space="preserve"> 3</w:t>
              </w:r>
            </w:hyperlink>
            <w:hyperlink w:anchor="i9237fb157928404b96a8fc7ef6f6efba_19">
              <w:r>
                <w:rPr>
                  <w:rStyle w:val="InternetLink"/>
                </w:rPr>
                <w:t>1</w:t>
              </w:r>
            </w:hyperlink>
            <w:hyperlink w:anchor="i9237fb157928404b96a8fc7ef6f6efba_19">
              <w:r>
                <w:rPr>
                  <w:rStyle w:val="InternetLink"/>
                </w:rPr>
                <w:t>, 202</w:t>
              </w:r>
            </w:hyperlink>
            <w:hyperlink w:anchor="i9237fb157928404b96a8fc7ef6f6efba_19">
              <w:r>
                <w:rPr>
                  <w:rStyle w:val="InternetLink"/>
                </w:rPr>
                <w:t>3</w:t>
              </w:r>
            </w:hyperlink>
            <w:hyperlink w:anchor="i9237fb157928404b96a8fc7ef6f6efba_19">
              <w:r>
                <w:rPr>
                  <w:rStyle w:val="InternetLink"/>
                </w:rPr>
                <w:t xml:space="preserve"> and 202</w:t>
              </w:r>
            </w:hyperlink>
            <w:hyperlink w:anchor="i9237fb157928404b96a8fc7ef6f6efba_19">
              <w:r>
                <w:rPr>
                  <w:rStyle w:val="InternetLink"/>
                </w:rPr>
                <w:t>2</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19">
              <w:r>
                <w:rPr>
                  <w:rStyle w:val="InternetLink"/>
                  <w:rFonts w:ascii="Times New Roman;sans-serif" w:hAnsi="Times New Roman;sans-serif"/>
                  <w:b w:val="false"/>
                  <w:color w:val="0000FF"/>
                  <w:sz w:val="20"/>
                  <w:u w:val="single"/>
                </w:rPr>
                <w:t>4</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22">
              <w:r>
                <w:rPr>
                  <w:rStyle w:val="InternetLink"/>
                </w:rPr>
                <w:t xml:space="preserve">Condensed Statements of Stockholders’ Deficit for the three </w:t>
              </w:r>
            </w:hyperlink>
            <w:hyperlink w:anchor="i9237fb157928404b96a8fc7ef6f6efba_22">
              <w:r>
                <w:rPr>
                  <w:rStyle w:val="InternetLink"/>
                </w:rPr>
                <w:t xml:space="preserve">month periods ended </w:t>
              </w:r>
            </w:hyperlink>
            <w:hyperlink w:anchor="i9237fb157928404b96a8fc7ef6f6efba_22">
              <w:r>
                <w:rPr>
                  <w:rStyle w:val="InternetLink"/>
                </w:rPr>
                <w:t>March</w:t>
              </w:r>
            </w:hyperlink>
            <w:hyperlink w:anchor="i9237fb157928404b96a8fc7ef6f6efba_22">
              <w:r>
                <w:rPr>
                  <w:rStyle w:val="InternetLink"/>
                </w:rPr>
                <w:t xml:space="preserve"> 3</w:t>
              </w:r>
            </w:hyperlink>
            <w:hyperlink w:anchor="i9237fb157928404b96a8fc7ef6f6efba_22">
              <w:r>
                <w:rPr>
                  <w:rStyle w:val="InternetLink"/>
                </w:rPr>
                <w:t>1</w:t>
              </w:r>
            </w:hyperlink>
            <w:hyperlink w:anchor="i9237fb157928404b96a8fc7ef6f6efba_22">
              <w:r>
                <w:rPr>
                  <w:rStyle w:val="InternetLink"/>
                </w:rPr>
                <w:t>, 202</w:t>
              </w:r>
            </w:hyperlink>
            <w:hyperlink w:anchor="i9237fb157928404b96a8fc7ef6f6efba_22">
              <w:r>
                <w:rPr>
                  <w:rStyle w:val="InternetLink"/>
                </w:rPr>
                <w:t>3</w:t>
              </w:r>
            </w:hyperlink>
            <w:hyperlink w:anchor="i9237fb157928404b96a8fc7ef6f6efba_22">
              <w:r>
                <w:rPr>
                  <w:rStyle w:val="InternetLink"/>
                </w:rPr>
                <w:t xml:space="preserve"> and 202</w:t>
              </w:r>
            </w:hyperlink>
            <w:hyperlink w:anchor="i9237fb157928404b96a8fc7ef6f6efba_22">
              <w:r>
                <w:rPr>
                  <w:rStyle w:val="InternetLink"/>
                </w:rPr>
                <w:t>2</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22">
              <w:r>
                <w:rPr>
                  <w:rStyle w:val="InternetLink"/>
                  <w:rFonts w:ascii="Times New Roman;sans-serif" w:hAnsi="Times New Roman;sans-serif"/>
                  <w:b w:val="false"/>
                  <w:color w:val="0000FF"/>
                  <w:sz w:val="20"/>
                  <w:u w:val="single"/>
                </w:rPr>
                <w:t>5</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25">
              <w:r>
                <w:rPr>
                  <w:rStyle w:val="InternetLink"/>
                </w:rPr>
                <w:t xml:space="preserve">Condensed Statements of Cash Flows for the </w:t>
              </w:r>
            </w:hyperlink>
            <w:hyperlink w:anchor="i9237fb157928404b96a8fc7ef6f6efba_25">
              <w:r>
                <w:rPr>
                  <w:rStyle w:val="InternetLink"/>
                </w:rPr>
                <w:t xml:space="preserve">three </w:t>
              </w:r>
            </w:hyperlink>
            <w:hyperlink w:anchor="i9237fb157928404b96a8fc7ef6f6efba_25">
              <w:r>
                <w:rPr>
                  <w:rStyle w:val="InternetLink"/>
                </w:rPr>
                <w:t xml:space="preserve">month periods ended </w:t>
              </w:r>
            </w:hyperlink>
            <w:hyperlink w:anchor="i9237fb157928404b96a8fc7ef6f6efba_25">
              <w:r>
                <w:rPr>
                  <w:rStyle w:val="InternetLink"/>
                </w:rPr>
                <w:t>March</w:t>
              </w:r>
            </w:hyperlink>
            <w:hyperlink w:anchor="i9237fb157928404b96a8fc7ef6f6efba_25">
              <w:r>
                <w:rPr>
                  <w:rStyle w:val="InternetLink"/>
                </w:rPr>
                <w:t xml:space="preserve"> 3</w:t>
              </w:r>
            </w:hyperlink>
            <w:hyperlink w:anchor="i9237fb157928404b96a8fc7ef6f6efba_25">
              <w:r>
                <w:rPr>
                  <w:rStyle w:val="InternetLink"/>
                </w:rPr>
                <w:t>1</w:t>
              </w:r>
            </w:hyperlink>
            <w:hyperlink w:anchor="i9237fb157928404b96a8fc7ef6f6efba_25">
              <w:r>
                <w:rPr>
                  <w:rStyle w:val="InternetLink"/>
                </w:rPr>
                <w:t>, 202</w:t>
              </w:r>
            </w:hyperlink>
            <w:hyperlink w:anchor="i9237fb157928404b96a8fc7ef6f6efba_25">
              <w:r>
                <w:rPr>
                  <w:rStyle w:val="InternetLink"/>
                </w:rPr>
                <w:t>3</w:t>
              </w:r>
            </w:hyperlink>
            <w:hyperlink w:anchor="i9237fb157928404b96a8fc7ef6f6efba_25">
              <w:r>
                <w:rPr>
                  <w:rStyle w:val="InternetLink"/>
                </w:rPr>
                <w:t xml:space="preserve"> and 202</w:t>
              </w:r>
            </w:hyperlink>
            <w:hyperlink w:anchor="i9237fb157928404b96a8fc7ef6f6efba_25">
              <w:r>
                <w:rPr>
                  <w:rStyle w:val="InternetLink"/>
                </w:rPr>
                <w:t>2</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25">
              <w:r>
                <w:rPr>
                  <w:rStyle w:val="InternetLink"/>
                  <w:rFonts w:ascii="Times New Roman;sans-serif" w:hAnsi="Times New Roman;sans-serif"/>
                  <w:b w:val="false"/>
                  <w:color w:val="0000FF"/>
                  <w:sz w:val="20"/>
                  <w:u w:val="single"/>
                </w:rPr>
                <w:t>6</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28">
              <w:r>
                <w:rPr>
                  <w:rStyle w:val="InternetLink"/>
                  <w:rFonts w:ascii="Times New Roman;sans-serif" w:hAnsi="Times New Roman;sans-serif"/>
                  <w:b w:val="false"/>
                  <w:color w:val="0000FF"/>
                  <w:sz w:val="20"/>
                  <w:u w:val="single"/>
                </w:rPr>
                <w:t>Notes to Condensed Financial Statements</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28">
              <w:r>
                <w:rPr>
                  <w:rStyle w:val="InternetLink"/>
                  <w:rFonts w:ascii="Times New Roman;sans-serif" w:hAnsi="Times New Roman;sans-serif"/>
                  <w:b w:val="false"/>
                  <w:color w:val="0000FF"/>
                  <w:sz w:val="20"/>
                  <w:u w:val="single"/>
                </w:rPr>
                <w:t>7</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7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79">
              <w:r>
                <w:rPr>
                  <w:rStyle w:val="InternetLink"/>
                  <w:rFonts w:ascii="Times New Roman;sans-serif" w:hAnsi="Times New Roman;sans-serif"/>
                  <w:b w:val="false"/>
                  <w:color w:val="0000FF"/>
                  <w:sz w:val="20"/>
                  <w:u w:val="single"/>
                </w:rPr>
                <w:t>26</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97">
              <w:r>
                <w:rPr>
                  <w:rStyle w:val="InternetLink"/>
                  <w:rFonts w:ascii="Times New Roman;sans-serif" w:hAnsi="Times New Roman;sans-serif"/>
                  <w:b w:val="false"/>
                  <w:color w:val="0000FF"/>
                  <w:sz w:val="20"/>
                  <w:u w:val="single"/>
                </w:rPr>
                <w:t>Item 3. Quantitative and Qualitative Disclosures About Market Risk</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97">
              <w:r>
                <w:rPr>
                  <w:rStyle w:val="InternetLink"/>
                  <w:rFonts w:ascii="Times New Roman;sans-serif" w:hAnsi="Times New Roman;sans-serif"/>
                  <w:b w:val="false"/>
                  <w:color w:val="0000FF"/>
                  <w:sz w:val="20"/>
                  <w:u w:val="single"/>
                </w:rPr>
                <w:t>35</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00">
              <w:r>
                <w:rPr>
                  <w:rStyle w:val="InternetLink"/>
                  <w:rFonts w:ascii="Times New Roman;sans-serif" w:hAnsi="Times New Roman;sans-serif"/>
                  <w:b w:val="false"/>
                  <w:color w:val="0000FF"/>
                  <w:sz w:val="20"/>
                  <w:u w:val="single"/>
                </w:rPr>
                <w:t>Item 4. Controls and Procedures</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100">
              <w:r>
                <w:rPr>
                  <w:rStyle w:val="InternetLink"/>
                  <w:rFonts w:ascii="Times New Roman;sans-serif" w:hAnsi="Times New Roman;sans-serif"/>
                  <w:b w:val="false"/>
                  <w:color w:val="0000FF"/>
                  <w:sz w:val="20"/>
                  <w:u w:val="single"/>
                </w:rPr>
                <w:t>35</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237fb157928404b96a8fc7ef6f6efba_103">
              <w:r>
                <w:rPr>
                  <w:rStyle w:val="InternetLink"/>
                  <w:rFonts w:ascii="Times New Roman;sans-serif" w:hAnsi="Times New Roman;sans-serif"/>
                  <w:b/>
                  <w:color w:val="0000FF"/>
                  <w:sz w:val="20"/>
                  <w:u w:val="single"/>
                </w:rPr>
                <w:t>PART II — OTHER INFORMATION</w:t>
              </w:r>
            </w:hyperlink>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06">
              <w:r>
                <w:rPr>
                  <w:rStyle w:val="InternetLink"/>
                  <w:rFonts w:ascii="Times New Roman;sans-serif" w:hAnsi="Times New Roman;sans-serif"/>
                  <w:b w:val="false"/>
                  <w:color w:val="0000FF"/>
                  <w:sz w:val="20"/>
                  <w:u w:val="single"/>
                </w:rPr>
                <w:t>Item 1. Legal Proceedings</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106">
              <w:r>
                <w:rPr>
                  <w:rStyle w:val="InternetLink"/>
                  <w:rFonts w:ascii="Times New Roman;sans-serif" w:hAnsi="Times New Roman;sans-serif"/>
                  <w:b w:val="false"/>
                  <w:color w:val="0000FF"/>
                  <w:sz w:val="20"/>
                  <w:u w:val="single"/>
                </w:rPr>
                <w:t>37</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09">
              <w:r>
                <w:rPr>
                  <w:rStyle w:val="InternetLink"/>
                  <w:rFonts w:ascii="Times New Roman;sans-serif" w:hAnsi="Times New Roman;sans-serif"/>
                  <w:b w:val="false"/>
                  <w:color w:val="0000FF"/>
                  <w:sz w:val="20"/>
                  <w:u w:val="single"/>
                </w:rPr>
                <w:t>Item 1A. Risk Factors</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109">
              <w:r>
                <w:rPr>
                  <w:rStyle w:val="InternetLink"/>
                  <w:rFonts w:ascii="Times New Roman;sans-serif" w:hAnsi="Times New Roman;sans-serif"/>
                  <w:b w:val="false"/>
                  <w:color w:val="0000FF"/>
                  <w:sz w:val="20"/>
                  <w:u w:val="single"/>
                </w:rPr>
                <w:t>37</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12">
              <w:r>
                <w:rPr>
                  <w:rStyle w:val="InternetLink"/>
                  <w:rFonts w:ascii="Times New Roman;sans-serif" w:hAnsi="Times New Roman;sans-serif"/>
                  <w:b w:val="false"/>
                  <w:color w:val="0000FF"/>
                  <w:sz w:val="20"/>
                  <w:u w:val="single"/>
                </w:rPr>
                <w:t>Item 6. Exhibits</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112">
              <w:r>
                <w:rPr>
                  <w:rStyle w:val="InternetLink"/>
                  <w:rFonts w:ascii="Times New Roman;sans-serif" w:hAnsi="Times New Roman;sans-serif"/>
                  <w:b w:val="false"/>
                  <w:color w:val="0000FF"/>
                  <w:sz w:val="20"/>
                  <w:u w:val="single"/>
                </w:rPr>
                <w:t>40</w:t>
              </w:r>
            </w:hyperlink>
          </w:p>
        </w:tc>
      </w:tr>
      <w:tr>
        <w:trPr/>
        <w:tc>
          <w:tcPr>
            <w:tcW w:w="8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37fb157928404b96a8fc7ef6f6efba_115">
              <w:r>
                <w:rPr>
                  <w:rStyle w:val="InternetLink"/>
                  <w:rFonts w:ascii="Times New Roman;sans-serif" w:hAnsi="Times New Roman;sans-serif"/>
                  <w:b/>
                  <w:color w:val="0000FF"/>
                  <w:sz w:val="20"/>
                  <w:u w:val="single"/>
                </w:rPr>
                <w:t>Signatures</w:t>
              </w:r>
            </w:hyperlink>
          </w:p>
        </w:tc>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37fb157928404b96a8fc7ef6f6efba_115">
              <w:r>
                <w:rPr>
                  <w:rStyle w:val="InternetLink"/>
                  <w:rFonts w:ascii="Times New Roman;sans-serif" w:hAnsi="Times New Roman;sans-serif"/>
                  <w:b w:val="false"/>
                  <w:color w:val="0000FF"/>
                  <w:sz w:val="20"/>
                  <w:u w:val="single"/>
                </w:rPr>
                <w:t>42</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CellMar>
          <w:top w:w="28" w:type="dxa"/>
          <w:left w:w="28" w:type="dxa"/>
          <w:bottom w:w="28" w:type="dxa"/>
          <w:right w:w="28" w:type="dxa"/>
        </w:tblCellMar>
      </w:tblPr>
      <w:tblGrid>
        <w:gridCol w:w="2878"/>
        <w:gridCol w:w="2349"/>
        <w:gridCol w:w="2302"/>
        <w:gridCol w:w="211"/>
        <w:gridCol w:w="830"/>
        <w:gridCol w:w="109"/>
        <w:gridCol w:w="109"/>
        <w:gridCol w:w="109"/>
        <w:gridCol w:w="109"/>
        <w:gridCol w:w="211"/>
        <w:gridCol w:w="830"/>
        <w:gridCol w:w="158"/>
      </w:tblGrid>
      <w:tr>
        <w:trPr/>
        <w:tc>
          <w:tcPr>
            <w:tcW w:w="2878"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3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clinical development costs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and current assets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operating lease assets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 development costs</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 liability</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collaborations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 of issuance costs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259,899 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 liability</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218,845 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7529"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571,717 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5)</w:t>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5,000,000 shares authorized and no shares issued or outstanding as of March 31, 2023 and December 31, 2022</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240,000,000 shares authorized as of March 31, 2023 and as of December 31, 2022; 89,237,167 shares issued at March 31, 2023 and 76,564,396 shares issued at December 31, 2022</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1,071,183 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1,994,198 shares at March 31, 2023 and December 31, 2022</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(1,340,036)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8552" w:type="dxa"/>
        <w:jc w:val="center"/>
        <w:tblInd w:w="0" w:type="dxa"/>
        <w:tblCellMar>
          <w:top w:w="28" w:type="dxa"/>
          <w:left w:w="28" w:type="dxa"/>
          <w:bottom w:w="28" w:type="dxa"/>
          <w:right w:w="28" w:type="dxa"/>
        </w:tblCellMar>
      </w:tblPr>
      <w:tblGrid>
        <w:gridCol w:w="1707"/>
        <w:gridCol w:w="1498"/>
        <w:gridCol w:w="1505"/>
        <w:gridCol w:w="240"/>
        <w:gridCol w:w="841"/>
        <w:gridCol w:w="109"/>
        <w:gridCol w:w="109"/>
        <w:gridCol w:w="109"/>
        <w:gridCol w:w="109"/>
        <w:gridCol w:w="240"/>
        <w:gridCol w:w="841"/>
        <w:gridCol w:w="109"/>
        <w:gridCol w:w="109"/>
        <w:gridCol w:w="109"/>
        <w:gridCol w:w="109"/>
        <w:gridCol w:w="109"/>
        <w:gridCol w:w="109"/>
        <w:gridCol w:w="109"/>
        <w:gridCol w:w="109"/>
        <w:gridCol w:w="109"/>
        <w:gridCol w:w="109"/>
        <w:gridCol w:w="154"/>
      </w:tblGrid>
      <w:tr>
        <w:trPr/>
        <w:tc>
          <w:tcPr>
            <w:tcW w:w="1707"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 and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78,440,266 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60,954,755 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216" w:type="dxa"/>
        <w:jc w:val="left"/>
        <w:tblInd w:w="0" w:type="dxa"/>
        <w:tblCellMar>
          <w:top w:w="28" w:type="dxa"/>
          <w:left w:w="28" w:type="dxa"/>
          <w:bottom w:w="28" w:type="dxa"/>
          <w:right w:w="28" w:type="dxa"/>
        </w:tblCellMar>
      </w:tblPr>
      <w:tblGrid>
        <w:gridCol w:w="757"/>
        <w:gridCol w:w="296"/>
        <w:gridCol w:w="298"/>
        <w:gridCol w:w="540"/>
        <w:gridCol w:w="541"/>
        <w:gridCol w:w="196"/>
        <w:gridCol w:w="109"/>
        <w:gridCol w:w="109"/>
        <w:gridCol w:w="109"/>
        <w:gridCol w:w="214"/>
        <w:gridCol w:w="366"/>
        <w:gridCol w:w="111"/>
        <w:gridCol w:w="109"/>
        <w:gridCol w:w="109"/>
        <w:gridCol w:w="109"/>
        <w:gridCol w:w="211"/>
        <w:gridCol w:w="826"/>
        <w:gridCol w:w="109"/>
        <w:gridCol w:w="109"/>
        <w:gridCol w:w="109"/>
        <w:gridCol w:w="109"/>
        <w:gridCol w:w="211"/>
        <w:gridCol w:w="991"/>
        <w:gridCol w:w="109"/>
        <w:gridCol w:w="109"/>
        <w:gridCol w:w="109"/>
        <w:gridCol w:w="109"/>
        <w:gridCol w:w="320"/>
        <w:gridCol w:w="730"/>
        <w:gridCol w:w="166"/>
        <w:gridCol w:w="109"/>
        <w:gridCol w:w="109"/>
        <w:gridCol w:w="109"/>
        <w:gridCol w:w="211"/>
        <w:gridCol w:w="736"/>
        <w:gridCol w:w="109"/>
        <w:gridCol w:w="109"/>
        <w:gridCol w:w="109"/>
        <w:gridCol w:w="109"/>
        <w:gridCol w:w="211"/>
        <w:gridCol w:w="841"/>
        <w:gridCol w:w="154"/>
      </w:tblGrid>
      <w:tr>
        <w:trPr/>
        <w:tc>
          <w:tcPr>
            <w:tcW w:w="75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60,879,496 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ESPP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61,058,567 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bl>
    <w:tbl>
      <w:tblPr>
        <w:tblW w:w="11666" w:type="dxa"/>
        <w:jc w:val="left"/>
        <w:tblInd w:w="0" w:type="dxa"/>
        <w:tblCellMar>
          <w:top w:w="28" w:type="dxa"/>
          <w:left w:w="28" w:type="dxa"/>
          <w:bottom w:w="28" w:type="dxa"/>
          <w:right w:w="28" w:type="dxa"/>
        </w:tblCellMar>
      </w:tblPr>
      <w:tblGrid>
        <w:gridCol w:w="939"/>
        <w:gridCol w:w="414"/>
        <w:gridCol w:w="298"/>
        <w:gridCol w:w="540"/>
        <w:gridCol w:w="541"/>
        <w:gridCol w:w="196"/>
        <w:gridCol w:w="109"/>
        <w:gridCol w:w="109"/>
        <w:gridCol w:w="109"/>
        <w:gridCol w:w="214"/>
        <w:gridCol w:w="366"/>
        <w:gridCol w:w="111"/>
        <w:gridCol w:w="109"/>
        <w:gridCol w:w="109"/>
        <w:gridCol w:w="109"/>
        <w:gridCol w:w="211"/>
        <w:gridCol w:w="976"/>
        <w:gridCol w:w="109"/>
        <w:gridCol w:w="109"/>
        <w:gridCol w:w="109"/>
        <w:gridCol w:w="109"/>
        <w:gridCol w:w="211"/>
        <w:gridCol w:w="991"/>
        <w:gridCol w:w="109"/>
        <w:gridCol w:w="109"/>
        <w:gridCol w:w="109"/>
        <w:gridCol w:w="109"/>
        <w:gridCol w:w="434"/>
        <w:gridCol w:w="557"/>
        <w:gridCol w:w="225"/>
        <w:gridCol w:w="109"/>
        <w:gridCol w:w="109"/>
        <w:gridCol w:w="109"/>
        <w:gridCol w:w="211"/>
        <w:gridCol w:w="736"/>
        <w:gridCol w:w="109"/>
        <w:gridCol w:w="109"/>
        <w:gridCol w:w="109"/>
        <w:gridCol w:w="109"/>
        <w:gridCol w:w="211"/>
        <w:gridCol w:w="841"/>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1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74,570,198 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 and performance-based restricted stock units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372,117 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ESPP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warrants, and pre-funded warrants, net of issuance costs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87,242,969 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336"/>
        <w:gridCol w:w="1988"/>
        <w:gridCol w:w="2001"/>
        <w:gridCol w:w="109"/>
        <w:gridCol w:w="109"/>
        <w:gridCol w:w="170"/>
        <w:gridCol w:w="170"/>
        <w:gridCol w:w="331"/>
        <w:gridCol w:w="1298"/>
        <w:gridCol w:w="170"/>
        <w:gridCol w:w="109"/>
        <w:gridCol w:w="109"/>
        <w:gridCol w:w="109"/>
        <w:gridCol w:w="211"/>
        <w:gridCol w:w="826"/>
        <w:gridCol w:w="159"/>
      </w:tblGrid>
      <w:tr>
        <w:trPr/>
        <w:tc>
          <w:tcPr>
            <w:tcW w:w="2336"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3" w:type="dxa"/>
            <w:gridSpan w:val="6"/>
            <w:tcBorders/>
            <w:shd w:fill="auto" w:val="clear"/>
          </w:tcPr>
          <w:p>
            <w:pPr>
              <w:pStyle w:val="TableContents"/>
              <w:spacing w:before="0" w:after="283"/>
              <w:rPr>
                <w:sz w:val="4"/>
                <w:szCs w:val="4"/>
              </w:rPr>
            </w:pPr>
            <w:r>
              <w:rPr>
                <w:sz w:val="4"/>
                <w:szCs w:val="4"/>
              </w:rPr>
            </w:r>
          </w:p>
        </w:tc>
      </w:tr>
      <w:tr>
        <w:trPr/>
        <w:tc>
          <w:tcPr>
            <w:tcW w:w="6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(61,719)</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revenue interest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(54,356)</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(38,990)</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sales/maturities of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revenue interest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warrants, and pre-funded warrants, net of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49,492 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144,911 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200,364 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warrant, and pre-funded warrant issuance costs not yet paid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cash right of use asset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Esperion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1. The Company and Basis of Presentation</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Esperion Therapeutics, Inc. ("the Company”) is a pharmaceutical company singularly focused on developing and commercializing accessible, oral, once-daily, non-statin medicines for patients struggling with elevated low-density lipoprotein cholesterol ("LDL-C"). Through commercial execution and completion of the CLEAR Outcomes trial as well as advancing the Company's pre-clinical pipeline, the Company continues to evolve into a differentiated, global cardiometabolic biotech. The Esperion team of lipid experts are dedicated to lowering bad 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Bempedoic acid and the bempedoic acid / ezetimibe combination tablet are oral, once-daily, non-statin, LDL-C lowering medicines for patients with atherosclerotic cardiovascular disease ("ASCVD") or heterozygous familial hypercholesterolemia ("HeFH").</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 xml:space="preserve">The Company recently completed a global cardiovascular outcomes trial, or CVOT, — known as </w:t>
      </w:r>
      <w:r>
        <w:rPr>
          <w:rFonts w:ascii="Times New Roman;sans-serif" w:hAnsi="Times New Roman;sans-serif"/>
          <w:b/>
          <w:color w:val="000000"/>
          <w:sz w:val="20"/>
        </w:rPr>
        <w:t>C</w:t>
      </w:r>
      <w:r>
        <w:rPr>
          <w:rFonts w:ascii="Times New Roman;sans-serif" w:hAnsi="Times New Roman;sans-serif"/>
          <w:b w:val="false"/>
          <w:color w:val="000000"/>
          <w:sz w:val="20"/>
        </w:rPr>
        <w:t xml:space="preserve">holesterol </w:t>
      </w:r>
      <w:r>
        <w:rPr>
          <w:rFonts w:ascii="Times New Roman;sans-serif" w:hAnsi="Times New Roman;sans-serif"/>
          <w:b/>
          <w:color w:val="000000"/>
          <w:sz w:val="20"/>
        </w:rPr>
        <w:t>L</w:t>
      </w:r>
      <w:r>
        <w:rPr>
          <w:rFonts w:ascii="Times New Roman;sans-serif" w:hAnsi="Times New Roman;sans-serif"/>
          <w:b w:val="false"/>
          <w:color w:val="000000"/>
          <w:sz w:val="20"/>
        </w:rPr>
        <w:t>owering via B</w:t>
      </w:r>
      <w:r>
        <w:rPr>
          <w:rFonts w:ascii="Times New Roman;sans-serif" w:hAnsi="Times New Roman;sans-serif"/>
          <w:b/>
          <w:color w:val="000000"/>
          <w:sz w:val="20"/>
        </w:rPr>
        <w:t>E</w:t>
      </w:r>
      <w:r>
        <w:rPr>
          <w:rFonts w:ascii="Times New Roman;sans-serif" w:hAnsi="Times New Roman;sans-serif"/>
          <w:b w:val="false"/>
          <w:color w:val="000000"/>
          <w:sz w:val="20"/>
        </w:rPr>
        <w:t xml:space="preserve">mpedoic Acid, an </w:t>
      </w:r>
      <w:r>
        <w:rPr>
          <w:rFonts w:ascii="Times New Roman;sans-serif" w:hAnsi="Times New Roman;sans-serif"/>
          <w:b/>
          <w:color w:val="000000"/>
          <w:sz w:val="20"/>
        </w:rPr>
        <w:t>A</w:t>
      </w:r>
      <w:r>
        <w:rPr>
          <w:rFonts w:ascii="Times New Roman;sans-serif" w:hAnsi="Times New Roman;sans-serif"/>
          <w:b w:val="false"/>
          <w:color w:val="000000"/>
          <w:sz w:val="20"/>
        </w:rPr>
        <w:t xml:space="preserve">CL-inhibiting </w:t>
      </w:r>
      <w:r>
        <w:rPr>
          <w:rFonts w:ascii="Times New Roman;sans-serif" w:hAnsi="Times New Roman;sans-serif"/>
          <w:b/>
          <w:color w:val="000000"/>
          <w:sz w:val="20"/>
        </w:rPr>
        <w:t>R</w:t>
      </w:r>
      <w:r>
        <w:rPr>
          <w:rFonts w:ascii="Times New Roman;sans-serif" w:hAnsi="Times New Roman;sans-serif"/>
          <w:b w:val="false"/>
          <w:color w:val="000000"/>
          <w:sz w:val="20"/>
        </w:rPr>
        <w:t>egimen (CLEAR) Outcomes. The trial was designed to evaluate whether treatment with bempedoic acid reduced the risk of cardiovascular events in patients who are statin averse and who have CVD or are at high risk for CVD. The Company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On December 7, 2022, the Company announced that the study had met its primary endpoint.</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On March 4, 2023, the Company announced the full results from the CLEAR Outcomes trial. The study showed that bempedoic acid demonstrated significant</w:t>
      </w:r>
      <w:r>
        <w:rPr>
          <w:color w:val="008080"/>
        </w:rPr>
        <w:t xml:space="preserve"> </w:t>
      </w:r>
      <w:r>
        <w:rPr>
          <w:rFonts w:ascii="Times New Roman;sans-serif" w:hAnsi="Times New Roman;sans-serif"/>
          <w:b w:val="false"/>
          <w:color w:val="000000"/>
          <w:sz w:val="20"/>
        </w:rPr>
        <w:t xml:space="preserve">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and NEXLIZET® (bempedoic acid and ezetimibe) tablets) now becomes the first LDL-C lowering therapy since statins proven to lower hard ischemic events, not only in those with ASCVD but also in the large number of primary prevention patients for whom limited therapies exist. The Company believes that it remains on track to submit regulatory filings to the FDA and EMA in the first half of 2023 with expected inclusion in the U.S. and EMA labels in the first half of 2024.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19, 2023, the Company entered into a Securities Purchase Agreement (the “Purchase Agreement”) with certain purchasers named therein (the “Purchasers”), pursuant to which the Company agreed to issue and sell, in a registered direct offering (the “Offering”), 12,205,000 shares of its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In connection with the Offering, the Company amended, pursuant to Warrant Amendment Agreements (the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The Company received gross proceeds of approximately $55.5 million from the Offering, before deducting placement agent fees and related offering expenses. The net proceeds to the Company from the Offering, after deducting the placement agent fees and expenses and the Company’s estimated offering expenses, are approximately $51.3 million. In addition, the Company received approximately $1.2 million as the gross consideration in connection with the Warrant Amendment Agreements. The net proceeds of the Warrant Amendment Agreements after deducting placement fees were approximately $1.1 million. Refer to Note 13 "Stockholders' Deficit" for further information.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activities since incorporation have been conducting research and development activities, including nonclinical, preclinical and clinical testing, gaining commercial approval of its products, developing a commercial sales team, performing business and financial planning, recruiting personnel, and raising capital. The Company received approval by the FDA in February 2020 to commercialize NEXLETOL (bempedoic acid) and NEXLIZET (bempedoic acid and ezetimibe) tablet in the U.S., and accordingly commenced principal operations on March 30, 2020 with the commercialization of NEXLETOL.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risks and uncertainties which include the need to successfully commercialize its products, research, develop, and clinically test therapeutic products; obtain regulatory approvals for its products (or additional or expanded indications for approved products); manage its management, commercial and scientific staff; and finance its operations with an ultimate goal of achieving profitable operations.</w:t>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sustained annual operating losses since inception and expects such losses to continue over the foreseeable future. While management believes current cash resources and future cash received from the Company's net product sales and collaboration agreements with Daiichi Sankyo Europe GmbH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If adequate funds are not available, the Company may not be able to continue the development of its current products or future product candidates, or to commercialize its current or future product candidates, if approved.</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2022, and the notes thereto, which are included in the Company’s Annual Report on Form 10-K for the year ended December 31, 2022. The results of operations for the interim periods are not necessarily indicative of the results to be expected for a full year, any other interim periods or any future year or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Concentration of Risk</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a limited number of distribution agreements with distributors and specialty pharmacies. The Company's net product sales are with these customers. As of March 31, 2023, eleven customers accounted for all of the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Company's net trade receivables and as of December 31, 2022, eleven customers accounted for all the Company's net trade receivables.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Revenue from Contracts with Customers,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a.Collaboration Revenue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 income.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b.Product Sales, Net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Net product sales totaled $17.0 million for the three months ended March 31, 2023, and $13.4 million for the three months ended March 31, 2022.</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Liabilities for co-pay assistance, expected product returns, rebates, and distributor fees are classified as “Other accrued liabilities” in the condensed balance sheets. Discounts, such as prompt pay discounts, and chargebacks are recorded as a reduction to trade accounts receivable in the condensed balance sheets.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Forms of Variable Consideration</w:t>
      </w:r>
    </w:p>
    <w:p>
      <w:pPr>
        <w:pStyle w:val="TextBody"/>
        <w:spacing w:lineRule="auto" w:line="288" w:before="0" w:after="240"/>
        <w:ind w:left="0" w:right="0" w:firstLine="720"/>
        <w:rPr/>
      </w:pPr>
      <w:r>
        <w:rPr>
          <w:rFonts w:ascii="Times New Roman;sans-serif" w:hAnsi="Times New Roman;sans-serif"/>
          <w:b w:val="false"/>
          <w:i/>
          <w:color w:val="000000"/>
          <w:sz w:val="20"/>
        </w:rPr>
        <w:t>Rebates and Chargebacks:</w:t>
      </w:r>
      <w:r>
        <w:rPr>
          <w:color w:val="000000"/>
        </w:rPr>
        <w:t xml:space="preserve"> </w:t>
      </w:r>
      <w:r>
        <w:rPr>
          <w:rFonts w:ascii="Times New Roman;sans-serif" w:hAnsi="Times New Roman;sans-serif"/>
          <w:b w:val="false"/>
          <w:color w:val="000000"/>
          <w:sz w:val="20"/>
        </w:rPr>
        <w:t>The Company estimates reductions to product sales for Public Health Service Institutions, such as Medicaid, Medicare 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pStyle w:val="TextBody"/>
        <w:spacing w:lineRule="auto" w:line="288" w:before="0" w:after="240"/>
        <w:ind w:left="0" w:right="0" w:firstLine="720"/>
        <w:rPr/>
      </w:pPr>
      <w:r>
        <w:rPr>
          <w:rFonts w:ascii="Times New Roman;sans-serif" w:hAnsi="Times New Roman;sans-serif"/>
          <w:b w:val="false"/>
          <w:i/>
          <w:color w:val="000000"/>
          <w:sz w:val="20"/>
        </w:rPr>
        <w:t>Co-pay assistance:</w:t>
      </w:r>
      <w:r>
        <w:rPr>
          <w:color w:val="000000"/>
        </w:rPr>
        <w:t xml:space="preserve"> </w:t>
      </w:r>
      <w:r>
        <w:rPr>
          <w:rFonts w:ascii="Times New Roman;sans-serif" w:hAnsi="Times New Roman;sans-serif"/>
          <w:b w:val="false"/>
          <w:color w:val="000000"/>
          <w:sz w:val="20"/>
        </w:rPr>
        <w:t>Eligible patients who have commercial insurance may receive assistance from the Company to reduce the patient's out of 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pStyle w:val="TextBody"/>
        <w:spacing w:lineRule="auto" w:line="288" w:before="0" w:after="240"/>
        <w:ind w:left="0" w:right="0" w:firstLine="720"/>
        <w:rPr/>
      </w:pPr>
      <w:r>
        <w:rPr>
          <w:rFonts w:ascii="Times New Roman;sans-serif" w:hAnsi="Times New Roman;sans-serif"/>
          <w:b w:val="false"/>
          <w:i/>
          <w:color w:val="000000"/>
          <w:sz w:val="20"/>
        </w:rPr>
        <w:t>Distribution Fees:</w:t>
      </w:r>
      <w:r>
        <w:rPr>
          <w:color w:val="000000"/>
        </w:rPr>
        <w:t xml:space="preserve"> </w:t>
      </w:r>
      <w:r>
        <w:rPr>
          <w:rFonts w:ascii="Times New Roman;sans-serif" w:hAnsi="Times New Roman;sans-serif"/>
          <w:b w:val="false"/>
          <w:color w:val="000000"/>
          <w:sz w:val="20"/>
        </w:rPr>
        <w:t>The Company has written contracts with its customers that include terms for distribution fees and costs for inventory management. The Company estimates and records distribution fees due to its customers based on gross sales.</w:t>
      </w:r>
    </w:p>
    <w:p>
      <w:pPr>
        <w:pStyle w:val="TextBody"/>
        <w:spacing w:lineRule="auto" w:line="288" w:before="0" w:after="240"/>
        <w:ind w:left="0" w:right="0" w:firstLine="720"/>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The Company generally offers a right of return based on the product’s expiration date and certain spoilage and damaged 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rPr/>
      </w:pPr>
      <w:r>
        <w:rPr>
          <w:rFonts w:ascii="Times New Roman;sans-serif" w:hAnsi="Times New Roman;sans-serif"/>
          <w:b w:val="false"/>
          <w:i/>
          <w:color w:val="000000"/>
          <w:sz w:val="20"/>
        </w:rPr>
        <w:t>Discounts:</w:t>
      </w:r>
      <w:r>
        <w:rPr>
          <w:color w:val="000000"/>
        </w:rPr>
        <w:t xml:space="preserve"> </w:t>
      </w:r>
      <w:r>
        <w:rPr>
          <w:rFonts w:ascii="Times New Roman;sans-serif" w:hAnsi="Times New Roman;sans-serif"/>
          <w:b w:val="false"/>
          <w:color w:val="000000"/>
          <w:sz w:val="20"/>
        </w:rPr>
        <w:t>The Company provides product discounts, such as prompt pay discounts, to its customers. The Company estimates cash discounts based on terms in negotiated contracts and the Company’s expectations regarding future payment patterns.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and recognized on a first-in, first-out ("FIFO") method. The Company uses standard cost to determine the cost basis for inventory. Inventory is capitalized based on when future economic benefit is expected to be realized.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Recently Implemented Accounting Pronouncements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material changes to the significant accounting policies previously disclosed in the Company’s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3. Collaborations with Third Parties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DSE Agreement Terms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On January 2, 2019, the Company entered into a license and collaboration agreement with DSE, which was furthered amended on June 18, 2020. Pursuant to the amended agreement,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The Company is also eligible to receive an additional regulatory milestone payment of either $200 million or $300 million upon the grant of the marketing authorisation in the European Union for the CV risk reduction label, depending on the range of relative risk reduction in the CLEAR Outcomes study. Refer to Note 5 "Commitments and Contingencies" for further information. In addition, the Company is eligible to receive additional sales milestone payments related to total net sales achievements for DSE in the DSE Territory. Finally, the Company receives tiered fifteen percent (15%) to twenty-five percent (25%) royalties on net DSE Territory sales.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Collaboration Revenue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2023 and 2022, the Company recognized collaboration revenue of approximately $7.1 million and $5.3 million related to royalty revenue from DSE from the sales of NILEMDO® and NUSTENDI as well as the sales of bulk tablets to DSE pursuant to the supply agreement that was executed with DSE.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Otsuka Agreement Terms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for NEXLETOL in the Otsuka Territory, and up to $50.0 million upon the achievement of the primary major adverse cardiovascular events (“MACE”) in the CLEAR Outcomes study and the CV risk reduction rate on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Collaboration Revenue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guidance under ASC 606 and concluded that the agreement was in the scope of ASC 606. The Company did not have any collaboration revenue from the Otsuka Agreement during the three months ended March 31, 2023 and 2022.</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has not yet recognized any revenue for milestone payments as the related regulatory and commercial milestones have not yet been achieved.</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DS Agreement Terms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also will be eligible to receive additional one-time payments of up to $175.0 million if certain commercial milestones are achieved by DS. Also, the Company will receive tiered royalties of five percent (5%) to twenty percent (20%) of net sales in the DS Territory.</w:t>
      </w:r>
    </w:p>
    <w:p>
      <w:pPr>
        <w:pStyle w:val="TextBody"/>
        <w:spacing w:before="0" w:after="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Collaboration Revenue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For the three months ended March 31, 2023 and 2022, the Company recognized $0.2 million and $0.2 million, respectively of collaboration revenue related to the ongoing regulatory and development activities. The remaining $0.5 million of the upfront payment was deferred as of March 31, 2023 due to an on-going performance obligation related to the developmental activities in South Korea and Taiwan. This deferred revenue will be recognized ratably over the period leading up to the completion of these developmental activities.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4. Inventories, net</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Inventories, net consist of the following (in thousands):</w:t>
      </w:r>
    </w:p>
    <w:tbl>
      <w:tblPr>
        <w:tblW w:w="4557" w:type="dxa"/>
        <w:jc w:val="left"/>
        <w:tblInd w:w="0" w:type="dxa"/>
        <w:tblCellMar>
          <w:top w:w="28" w:type="dxa"/>
          <w:left w:w="28" w:type="dxa"/>
          <w:bottom w:w="28" w:type="dxa"/>
          <w:right w:w="28" w:type="dxa"/>
        </w:tblCellMar>
      </w:tblPr>
      <w:tblGrid>
        <w:gridCol w:w="516"/>
        <w:gridCol w:w="453"/>
        <w:gridCol w:w="456"/>
        <w:gridCol w:w="255"/>
        <w:gridCol w:w="873"/>
        <w:gridCol w:w="132"/>
        <w:gridCol w:w="109"/>
        <w:gridCol w:w="109"/>
        <w:gridCol w:w="109"/>
        <w:gridCol w:w="300"/>
        <w:gridCol w:w="1026"/>
        <w:gridCol w:w="219"/>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5"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35,090 </w:t>
            </w:r>
          </w:p>
        </w:tc>
        <w:tc>
          <w:tcPr>
            <w:tcW w:w="132"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26,558 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39,352 </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35,201 </w:t>
            </w:r>
          </w:p>
        </w:tc>
        <w:tc>
          <w:tcPr>
            <w:tcW w:w="2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5. Commitments and Contingencies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4, 2023, the Company announced the full results from its Cholesterol Lowering via Bempedoic acid, an ACL-Inhibiting Regimen (CLEAR) Outcomes trial. Based on the terms of the contract with DSE, the Company is eligible for partner milestone payments upon inclusion of cardiovascular risk reduction data in the EU label, for which payment is tied to the magnitude of the risk percentage reduction included in the label (among other requirements) and ranges from $200 million for the inclusion of cardiovascular risk reduction in the EU label that correlates with a relative risk reduction rate that, based on the CLEAR Outcomes data, is equal or greater than 15% but less than 20%, to $300 million if such risk reduction in the EU label that correlates with a relative risk reduction rate is equal or greater than 20%. Based on the CLEAR Outcomes data, the Company believes it would be entitled to receive $300 million in partner milestone payments upon inclusion of cardiovascular risk reduction data in the EU label.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had communications with DSE regarding potential milestone payments in which DSE has conveyed that it disagrees with the Company’s assessment that the CLEAR Outcomes data would support the Company’s right to receive any milestone payments upon inclusion of certain required cardiovascular risk reduction data in the EU label. Even if the Company is successful in enforcing its rights, there could be a delay in the Company’s receipt of the milestone payments as a result of any dispute relating to such payments. Any failure to receive or any delay in receipt of the milestone payments may significantly impact the Company’s future capital needs, ability to recognize revenue for the milestone upon inclusion of cardiovascular risk reduction data in the EU label, and ability to fund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27, 2023, the Company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CLEAR Outcomes trial demonstrating significant cardiovascular risk reductions.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2023, the Company filed an amended complaint against DSE in the Southern District of New York. The complaint seeks a judicial declaration, on an expedited basis, that DSE is contractually required to make a $300 million milestone payment to the Company upon applicable regulatory approval.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6. Investments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cash equivalents and short-term investments (in thousands):</w:t>
      </w:r>
    </w:p>
    <w:tbl>
      <w:tblPr>
        <w:tblW w:w="9122" w:type="dxa"/>
        <w:jc w:val="center"/>
        <w:tblInd w:w="0" w:type="dxa"/>
        <w:tblCellMar>
          <w:top w:w="28" w:type="dxa"/>
          <w:left w:w="28" w:type="dxa"/>
          <w:bottom w:w="28" w:type="dxa"/>
          <w:right w:w="28" w:type="dxa"/>
        </w:tblCellMar>
      </w:tblPr>
      <w:tblGrid>
        <w:gridCol w:w="775"/>
        <w:gridCol w:w="683"/>
        <w:gridCol w:w="687"/>
        <w:gridCol w:w="211"/>
        <w:gridCol w:w="826"/>
        <w:gridCol w:w="109"/>
        <w:gridCol w:w="109"/>
        <w:gridCol w:w="109"/>
        <w:gridCol w:w="109"/>
        <w:gridCol w:w="526"/>
        <w:gridCol w:w="1014"/>
        <w:gridCol w:w="274"/>
        <w:gridCol w:w="109"/>
        <w:gridCol w:w="109"/>
        <w:gridCol w:w="109"/>
        <w:gridCol w:w="535"/>
        <w:gridCol w:w="1031"/>
        <w:gridCol w:w="279"/>
        <w:gridCol w:w="109"/>
        <w:gridCol w:w="109"/>
        <w:gridCol w:w="109"/>
        <w:gridCol w:w="211"/>
        <w:gridCol w:w="826"/>
        <w:gridCol w:w="154"/>
      </w:tblGrid>
      <w:tr>
        <w:trPr/>
        <w:tc>
          <w:tcPr>
            <w:tcW w:w="77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Amortized </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131,394 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122" w:type="dxa"/>
        <w:jc w:val="left"/>
        <w:tblInd w:w="0" w:type="dxa"/>
        <w:tblCellMar>
          <w:top w:w="28" w:type="dxa"/>
          <w:left w:w="28" w:type="dxa"/>
          <w:bottom w:w="28" w:type="dxa"/>
          <w:right w:w="28" w:type="dxa"/>
        </w:tblCellMar>
      </w:tblPr>
      <w:tblGrid>
        <w:gridCol w:w="775"/>
        <w:gridCol w:w="683"/>
        <w:gridCol w:w="687"/>
        <w:gridCol w:w="211"/>
        <w:gridCol w:w="826"/>
        <w:gridCol w:w="109"/>
        <w:gridCol w:w="109"/>
        <w:gridCol w:w="109"/>
        <w:gridCol w:w="109"/>
        <w:gridCol w:w="526"/>
        <w:gridCol w:w="1014"/>
        <w:gridCol w:w="274"/>
        <w:gridCol w:w="109"/>
        <w:gridCol w:w="109"/>
        <w:gridCol w:w="109"/>
        <w:gridCol w:w="535"/>
        <w:gridCol w:w="1031"/>
        <w:gridCol w:w="279"/>
        <w:gridCol w:w="109"/>
        <w:gridCol w:w="109"/>
        <w:gridCol w:w="109"/>
        <w:gridCol w:w="211"/>
        <w:gridCol w:w="826"/>
        <w:gridCol w:w="154"/>
      </w:tblGrid>
      <w:tr>
        <w:trPr/>
        <w:tc>
          <w:tcPr>
            <w:tcW w:w="77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Amortized </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March 31, 2022, other income, net in the statements of operations includes interest income on investments of $0.9 million and $0.3 million. During the three months ended March 31, 2023, other income, net in the statements of operations includes accretion of premiums and discounts on investments of $0.3 million. During the three months ended March 31, 2022, other income, net in the statements of operations includes amortization of premiums and discounts on investments of $0.2 million.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There were no unrealized gains or losses on investments reclassified from accumulated other comprehensive income (loss) to other income in the statements of operations during the three months ended March 31, 2023 and 2022.</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and 2022, there were no allowances for credit losses and all unrealized gains (losses) for available-for-sale securities were recognized in accumulated other comprehensive income (loss). As of March 31, 2023, the Company had no accrued interest receivables.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7. Fair Value Measurements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tbl>
      <w:tblPr>
        <w:tblW w:w="10205" w:type="dxa"/>
        <w:jc w:val="left"/>
        <w:tblInd w:w="0" w:type="dxa"/>
        <w:tblCellMar>
          <w:top w:w="28" w:type="dxa"/>
          <w:left w:w="28" w:type="dxa"/>
          <w:bottom w:w="28" w:type="dxa"/>
          <w:right w:w="28" w:type="dxa"/>
        </w:tblCellMar>
      </w:tblPr>
      <w:tblGrid>
        <w:gridCol w:w="380"/>
        <w:gridCol w:w="334"/>
        <w:gridCol w:w="337"/>
        <w:gridCol w:w="109"/>
        <w:gridCol w:w="109"/>
        <w:gridCol w:w="109"/>
        <w:gridCol w:w="2696"/>
        <w:gridCol w:w="2529"/>
        <w:gridCol w:w="3602"/>
      </w:tblGrid>
      <w:tr>
        <w:trPr/>
        <w:tc>
          <w:tcPr>
            <w:tcW w:w="3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3602"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inputs: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Quoted prices for identical assets or liabilities in active markets;</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other than Level 1 prices, such as quoted market prices for similar assets or liabilities or other inputs that are observable or can be corroborated by market data; and</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that are supported by little or no market activity and require the reporting entity to develop assumptions that market participants would use when pricing the asset or liability.</w:t>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financial assets that have been measured at fair value on a recurring basis (in thousands):</w:t>
      </w:r>
    </w:p>
    <w:tbl>
      <w:tblPr>
        <w:tblW w:w="7167" w:type="dxa"/>
        <w:jc w:val="left"/>
        <w:tblInd w:w="0" w:type="dxa"/>
        <w:tblCellMar>
          <w:top w:w="28" w:type="dxa"/>
          <w:left w:w="28" w:type="dxa"/>
          <w:bottom w:w="28" w:type="dxa"/>
          <w:right w:w="28" w:type="dxa"/>
        </w:tblCellMar>
      </w:tblPr>
      <w:tblGrid>
        <w:gridCol w:w="749"/>
        <w:gridCol w:w="659"/>
        <w:gridCol w:w="662"/>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54"/>
      </w:tblGrid>
      <w:tr>
        <w:trPr/>
        <w:tc>
          <w:tcPr>
            <w:tcW w:w="74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Levels 1, 2 or 3 during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40"/>
        <w:rPr>
          <w:rFonts w:ascii="Times New Roman;sans-serif" w:hAnsi="Times New Roman;sans-serif"/>
          <w:b/>
          <w:color w:val="000000"/>
          <w:sz w:val="20"/>
        </w:rPr>
      </w:pPr>
      <w:r>
        <w:rPr>
          <w:rFonts w:ascii="Times New Roman;sans-serif" w:hAnsi="Times New Roman;sans-serif"/>
          <w:b/>
          <w:color w:val="000000"/>
          <w:sz w:val="20"/>
        </w:rPr>
        <w:t>8. Liability Related to the Revenue Interest Purchase Agreement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On June 26, 2019, the Company entered into a Revenue Interest Purchase Agreement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pStyle w:val="TextBody"/>
        <w:spacing w:lineRule="auto" w:line="268" w:before="0" w:after="240"/>
        <w:rPr>
          <w:rFonts w:ascii="Times New Roman;sans-serif" w:hAnsi="Times New Roman;sans-serif"/>
          <w:b w:val="false"/>
          <w:color w:val="000000"/>
          <w:sz w:val="20"/>
        </w:rPr>
      </w:pPr>
      <w:r>
        <w:rPr>
          <w:rFonts w:ascii="Times New Roman;sans-serif" w:hAnsi="Times New Roman;sans-serif"/>
          <w:b w:val="false"/>
          <w:color w:val="000000"/>
          <w:sz w:val="20"/>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the RIPA contains various representations and warranties, information rights, non-financial covenants, indemnification obligations and other provisions that are customary for a transaction of this nature.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RIPA Amendments</w:t>
      </w:r>
    </w:p>
    <w:p>
      <w:pPr>
        <w:pStyle w:val="TextBody"/>
        <w:spacing w:before="0" w:after="0"/>
        <w:rPr/>
      </w:pPr>
      <w:r>
        <w:rPr/>
      </w:r>
    </w:p>
    <w:p>
      <w:pPr>
        <w:pStyle w:val="TextBody"/>
        <w:spacing w:lineRule="auto" w:line="268" w:before="0" w:after="240"/>
        <w:rPr>
          <w:rFonts w:ascii="Times New Roman;sans-serif" w:hAnsi="Times New Roman;sans-serif"/>
          <w:b w:val="false"/>
          <w:color w:val="000000"/>
          <w:sz w:val="20"/>
        </w:rPr>
      </w:pPr>
      <w:r>
        <w:rPr>
          <w:rFonts w:ascii="Times New Roman;sans-serif" w:hAnsi="Times New Roman;sans-serif"/>
          <w:b w:val="false"/>
          <w:color w:val="000000"/>
          <w:sz w:val="20"/>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Under the RIPA Amendment 2,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 million from the restricted cash account (the “Partial Call”), (b) the amount of the Cumulative Purchaser Payments (as defined in the RIPA) was reduced to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$177,777,778, and (c) the Purchasers and Purchaser Agent waived certain claimed defaults, breaches and Put Option Events under the RIPA and other related documents that may have occurred as a result of the Company’s opening of a new bank account.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accordance with the guidance in ASC 470</w:t>
        <w:noBreakHyphen/>
        <w:t>50, “Debt—Modifications and Extinguishments,” the RIPA Amendment 3 was accounted for as a debt modification. The amendment resulted in a less than $0.1 million loss on modification of debt, consisting of third-party fees associated with the transaction, which is included in selling, general, and administrative expenses in the statements of operations for the year ended December 31, 2022.</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arrangement, as of March 31, 2023, the Company has recorded a liability, referred to as the “Revenue interest liability” on the balance sheet, of $251.8 million, net of $0.3 million of capitalized issuance costs in connection with the RIPA, which will be amortized to interest expense over the estimated term of the RIPA. The total redemption amount is equal to 225% of the Cumulative Purchaser Payments, or $400 million. At March 31, 2023, the remaining redemption amount is $385.0 million.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 significant increase or decrease in future net sales will materially impact the revenue interest liability, interest expense and the time period for repayment. The Company recorded approximately $11.3 million and $11.0 million in interest expense related to this arrangement for the three months ended March 31, 2023 and 2022, respectively.</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repayment of the RIPA to Oberland does not have a fixed repayment schedule, rather it will be completely repaid and extinguished when the Company has repaid 225% of the Cumulative Purchaser Payments.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As the U.S. net sales were less than $350 million for the year ended December 31, 2021, the Covered Territory was expanded to include worldwide sales beginning in 2022. The Company’s repayments of the RIPA are directly tied to the growth of its net sales, and as the Company’s net sales grow, the Company expects the related repayments of the RIPA to grow as well. The Company currently expects to repay $26.9 million in the next twelve months.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effective annual imputed interest rate is 18.2% as of March 31, 2023. Payments made to Oberland as a result of the Company’s net sales will reduce the revenue interest liability.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interest liability activity during the three months ended March 31, 2023:</w:t>
      </w:r>
    </w:p>
    <w:tbl>
      <w:tblPr>
        <w:tblW w:w="5600" w:type="dxa"/>
        <w:jc w:val="left"/>
        <w:tblInd w:w="0" w:type="dxa"/>
        <w:tblCellMar>
          <w:top w:w="28" w:type="dxa"/>
          <w:left w:w="28" w:type="dxa"/>
          <w:bottom w:w="28" w:type="dxa"/>
          <w:right w:w="28" w:type="dxa"/>
        </w:tblCellMar>
      </w:tblPr>
      <w:tblGrid>
        <w:gridCol w:w="1596"/>
        <w:gridCol w:w="1402"/>
        <w:gridCol w:w="1411"/>
        <w:gridCol w:w="211"/>
        <w:gridCol w:w="826"/>
        <w:gridCol w:w="154"/>
      </w:tblGrid>
      <w:tr>
        <w:trPr/>
        <w:tc>
          <w:tcPr>
            <w:tcW w:w="1596"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interest liability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Interests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interest liability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9. Convertible Notes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of $8.9 million.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the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Company’s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Holders may convert their Convertible Notes at their option at any time prior to the close of business on the business day immediately preceding August 15, 2025 in the following circumstances: (1) during any calendar quarter commencing after the calendar quarter ended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the Company’s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the Company's common stock being exchanged.</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principal amount of convertible notes was $265.0 million, and the unamortized debt discount and issuance costs were $4.7 million, for a net carrying amount of $260.3 million.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$3.1 million of interest expense during the three months ended March 31, 2023, and $3.0 million of interest expense during the three months ended March 31, 2022, relating to the cash interest on the convertible notes due semi-annually and amortization of the debt issuance costs.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no Convertible Notes were convertible pursuant to their terms. The estimated fair value of the Convertible Notes was $123.2 million as of March 31, 2023 and $145.9 million as of December 31, 2022. The estimated fair value of the Convertible Notes was determined through consideration of quoted market prices. As of March 31, 2023, the if-converted value of the Convertible Notes did not exceed the principal value of those notes.</w:t>
      </w:r>
    </w:p>
    <w:p>
      <w:pPr>
        <w:pStyle w:val="TextBody"/>
        <w:spacing w:before="0" w:after="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Capped Call Transactions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Given that the transactions meet certain accounting criteria, the convertible note capped call transactions are recorded in stockholders’ equity, and they are not accounted for as derivatives and are not remeasured each reporting period. As of March 31, 2023 and December 31, 2022, the Company had not purchased any shares under the convertible note capped call transactions.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Prepaid Forward</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March 31, 2023, 165,540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10. Other Accrued Liabilities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 (in thousands):</w:t>
      </w:r>
    </w:p>
    <w:tbl>
      <w:tblPr>
        <w:tblW w:w="5656" w:type="dxa"/>
        <w:jc w:val="center"/>
        <w:tblInd w:w="0" w:type="dxa"/>
        <w:tblCellMar>
          <w:top w:w="28" w:type="dxa"/>
          <w:left w:w="28" w:type="dxa"/>
          <w:bottom w:w="28" w:type="dxa"/>
          <w:right w:w="28" w:type="dxa"/>
        </w:tblCellMar>
      </w:tblPr>
      <w:tblGrid>
        <w:gridCol w:w="1141"/>
        <w:gridCol w:w="1001"/>
        <w:gridCol w:w="1007"/>
        <w:gridCol w:w="211"/>
        <w:gridCol w:w="721"/>
        <w:gridCol w:w="109"/>
        <w:gridCol w:w="109"/>
        <w:gridCol w:w="109"/>
        <w:gridCol w:w="109"/>
        <w:gridCol w:w="221"/>
        <w:gridCol w:w="757"/>
        <w:gridCol w:w="161"/>
      </w:tblGrid>
      <w:tr>
        <w:trPr/>
        <w:tc>
          <w:tcPr>
            <w:tcW w:w="114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variable consideration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convertible notes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11. Stock Compensation</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2022 Stock Option and Incentive Plan</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unrestricted stock, cash-based awards, and dividend equivalent rights. Following the approval of the 2022 Plan, no further awards will be issued under the Company’s 2013 Stock Option and Incentive Plan (the “2013 Plan”). </w:t>
      </w:r>
    </w:p>
    <w:p>
      <w:pPr>
        <w:pStyle w:val="TextBody"/>
        <w:spacing w:before="0" w:after="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April 2020, the board of directors approved the Esperion Therapeutics, Inc. 2020 Employee Stock Purchase Plan (the "ESPP") which was approved by the Company's shareholders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In the three months ended March 31, 2023 and 2022, the Company recognized $0.1 million and approximately $0.1 million of stock compensation expense related to the ESPP. As of March 31, 2023, there have been 435,076 shares issued and 389,924 shares reserved for future issuance under the ESPP.</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options to purchase common stock for the three months ended March 31, 2023:</w:t>
      </w:r>
    </w:p>
    <w:tbl>
      <w:tblPr>
        <w:tblW w:w="10205" w:type="dxa"/>
        <w:jc w:val="left"/>
        <w:tblInd w:w="0" w:type="dxa"/>
        <w:tblCellMar>
          <w:top w:w="28" w:type="dxa"/>
          <w:left w:w="28" w:type="dxa"/>
          <w:bottom w:w="28" w:type="dxa"/>
          <w:right w:w="28" w:type="dxa"/>
        </w:tblCellMar>
      </w:tblPr>
      <w:tblGrid>
        <w:gridCol w:w="1127"/>
        <w:gridCol w:w="616"/>
        <w:gridCol w:w="619"/>
        <w:gridCol w:w="499"/>
        <w:gridCol w:w="483"/>
        <w:gridCol w:w="309"/>
        <w:gridCol w:w="109"/>
        <w:gridCol w:w="109"/>
        <w:gridCol w:w="109"/>
        <w:gridCol w:w="450"/>
        <w:gridCol w:w="1318"/>
        <w:gridCol w:w="234"/>
        <w:gridCol w:w="109"/>
        <w:gridCol w:w="109"/>
        <w:gridCol w:w="109"/>
        <w:gridCol w:w="759"/>
        <w:gridCol w:w="759"/>
        <w:gridCol w:w="760"/>
        <w:gridCol w:w="109"/>
        <w:gridCol w:w="109"/>
        <w:gridCol w:w="109"/>
        <w:gridCol w:w="276"/>
        <w:gridCol w:w="807"/>
        <w:gridCol w:w="208"/>
      </w:tblGrid>
      <w:tr>
        <w:trPr/>
        <w:tc>
          <w:tcPr>
            <w:tcW w:w="1127"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3,842,737 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1,154,300 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(622,585)</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4,374,452 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2023</w:t>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4,374,452 </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2,194,004 </w:t>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related to stock options was $1.0 million for the three months ended March 31, 2023, including $0.1 million that was capitalized into inventory, and $1.5 million for the three months ended March 31, 2022, including $0.1 million that was capitalized into inventory. As of March 31, 2023, there was $9.0 million of unrecognized stock-based compensation expense related to unvested options, which will be recognized over a weighted-average period of 2.9 years.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Performance-Based Stock Options ("PBSOs")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granted PBSOs from the 2013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granted PBSOs from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 </w:t>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PBSOs for the three months ended March 31, 2023:</w:t>
      </w:r>
    </w:p>
    <w:tbl>
      <w:tblPr>
        <w:tblW w:w="10205" w:type="dxa"/>
        <w:jc w:val="left"/>
        <w:tblInd w:w="0" w:type="dxa"/>
        <w:tblCellMar>
          <w:top w:w="28" w:type="dxa"/>
          <w:left w:w="28" w:type="dxa"/>
          <w:bottom w:w="28" w:type="dxa"/>
          <w:right w:w="28" w:type="dxa"/>
        </w:tblCellMar>
      </w:tblPr>
      <w:tblGrid>
        <w:gridCol w:w="1134"/>
        <w:gridCol w:w="632"/>
        <w:gridCol w:w="636"/>
        <w:gridCol w:w="499"/>
        <w:gridCol w:w="380"/>
        <w:gridCol w:w="314"/>
        <w:gridCol w:w="109"/>
        <w:gridCol w:w="109"/>
        <w:gridCol w:w="109"/>
        <w:gridCol w:w="516"/>
        <w:gridCol w:w="1252"/>
        <w:gridCol w:w="268"/>
        <w:gridCol w:w="109"/>
        <w:gridCol w:w="109"/>
        <w:gridCol w:w="109"/>
        <w:gridCol w:w="776"/>
        <w:gridCol w:w="776"/>
        <w:gridCol w:w="777"/>
        <w:gridCol w:w="109"/>
        <w:gridCol w:w="109"/>
        <w:gridCol w:w="109"/>
        <w:gridCol w:w="343"/>
        <w:gridCol w:w="662"/>
        <w:gridCol w:w="259"/>
      </w:tblGrid>
      <w:tr>
        <w:trPr/>
        <w:tc>
          <w:tcPr>
            <w:tcW w:w="1134"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499,200 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(65,250)</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433,950 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2023</w:t>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433,950 </w:t>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87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48,100 </w:t>
            </w:r>
          </w:p>
        </w:tc>
        <w:tc>
          <w:tcPr>
            <w:tcW w:w="3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related to PBSOs was $0.2 million for the three months ended March 31, 2023 and $0.1 million for the three months ended March 31, 2022. As of March 31, 2023, there was approximately $1.0 million of unrecognized stock-based compensation expense related to unvested PBSOs, which will be recognized over a weighted-average period of approximately 1.2 years.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(or RSUs)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RSUs for the three months ended March 31, 2023:</w:t>
      </w:r>
    </w:p>
    <w:tbl>
      <w:tblPr>
        <w:tblW w:w="6999" w:type="dxa"/>
        <w:jc w:val="left"/>
        <w:tblInd w:w="0" w:type="dxa"/>
        <w:tblCellMar>
          <w:top w:w="28" w:type="dxa"/>
          <w:left w:w="28" w:type="dxa"/>
          <w:bottom w:w="28" w:type="dxa"/>
          <w:right w:w="28" w:type="dxa"/>
        </w:tblCellMar>
      </w:tblPr>
      <w:tblGrid>
        <w:gridCol w:w="1402"/>
        <w:gridCol w:w="1230"/>
        <w:gridCol w:w="1237"/>
        <w:gridCol w:w="488"/>
        <w:gridCol w:w="488"/>
        <w:gridCol w:w="311"/>
        <w:gridCol w:w="109"/>
        <w:gridCol w:w="109"/>
        <w:gridCol w:w="109"/>
        <w:gridCol w:w="365"/>
        <w:gridCol w:w="884"/>
        <w:gridCol w:w="267"/>
      </w:tblGrid>
      <w:tr>
        <w:trPr/>
        <w:tc>
          <w:tcPr>
            <w:tcW w:w="1402"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 xml:space="preserve">Fair Value Per </w:t>
              <w:br/>
              <w:t>Share</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unvested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1,768,185 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1,622,485 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(101,881)</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(171,392)</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unvested 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3,117,397 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RSUs was approximately $1.5 million for the three months ended March 31, 2023, including $0.1 million that was capitalized into inventory, and approximately $1.9 million for the three months ended March 31, 2022, including $0.1 million that was capitalized into inventory. As of March 31, 2023, there was $18.6 million of unrecognized stock-based compensation expense related to unvested RSUs, which will be recognized over a weighted-average period of 3.0 years.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Performance-based Restricted Stock Units ("PBRSUs")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relating to the Company's PBRSUs for the three months ended March 31, 2023:</w:t>
      </w:r>
    </w:p>
    <w:tbl>
      <w:tblPr>
        <w:tblW w:w="8077" w:type="dxa"/>
        <w:jc w:val="left"/>
        <w:tblInd w:w="0" w:type="dxa"/>
        <w:tblCellMar>
          <w:top w:w="28" w:type="dxa"/>
          <w:left w:w="28" w:type="dxa"/>
          <w:bottom w:w="28" w:type="dxa"/>
          <w:right w:w="28" w:type="dxa"/>
        </w:tblCellMar>
      </w:tblPr>
      <w:tblGrid>
        <w:gridCol w:w="1299"/>
        <w:gridCol w:w="1140"/>
        <w:gridCol w:w="1146"/>
        <w:gridCol w:w="449"/>
        <w:gridCol w:w="451"/>
        <w:gridCol w:w="311"/>
        <w:gridCol w:w="109"/>
        <w:gridCol w:w="109"/>
        <w:gridCol w:w="109"/>
        <w:gridCol w:w="634"/>
        <w:gridCol w:w="1855"/>
        <w:gridCol w:w="465"/>
      </w:tblGrid>
      <w:tr>
        <w:trPr/>
        <w:tc>
          <w:tcPr>
            <w:tcW w:w="12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PBRSUs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fair value per share</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461,250 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(69,150)</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4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(200,725)</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unvested March 31,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191,375 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4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the PBRSUs was $0.1 million for the three months ended March 31, 2023, including less than $0.1 million that was capitalized into inventory, and $0.8 million for the three months ended March 31, 2022, including $0.1 million that was capitalized into inventory. As of March 31, 2023, there was approximately $0.8 million of unrecognized stock-based compensation expense related to unvested PBRSUs, which will be recognized over a weighted-average period of approximately 1.2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There was no provision for income taxes for the three months ended March 31, 2023 and 2022, because the Company has incurred annual operating losses since inception. At March 31, 2023, the Company continues to conclude that it is not more likely than not that the Company will realize the benefit of its deferred tax assets due to its history of losses. Accordingly, a full valuation allowance has been applied against the net deferred tax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13. Stockholders' Deficit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ATM Offering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15, 2022, the Company filed a new registration statement on Form S-3 to replace its prior automatically effective registration statement on Form S-3ASR filed on August 3, 2021, which registers the offering, issuance and sale of up to $239 million of common stock from time to time in “at-the-market” offerings (the “New ATM Program”). On February 21, 2023, the Company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(the "2023 ATM Program"), pursuant to its existing Form S-3 and the prospectus supplement filed on February 21, 2023. The Company may continue to use the 2023 ATM Program to address potential short-term or long-term funding requirements that may arise. Such program will continue to be subject to the volatility of the price of the Company's common stock and general market conditions. During the year ended December 31, 2022, the Company issued 13,043,797 shares of common stock resulting in net proceeds of approximately $90.8 million after deducting $3.1 million of underwriting discounts and commissions and other expenses, pursuant to the New ATM Program. No shares have been issued under the 2023 ATM Program as of the date of this quarterly report.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an underwriting agreement with H.C. Wainwright &amp; Co., LLC ("Wainwright") on December 2, 2021, the Company issued warrants to purchase 36,964,286 shares of common stock at an exercise price of $9.00. The warrants will terminate on December 7, 2023. The warrants were recorded at fair value of $61.9 million to additional-paid-in-capital in accordance with ASC 815-10 based upon the allocation of the proceeds between the common shares issued with the Offering and the warrants.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Registered Direct Offering and Warrant Amendment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2023, the Company entered into a Securities Purchase Agreement (the “Purchase Agreement”) with certain purchasers named therein (the “Purchasers”), pursuant to which the Company agreed to issue and sell, in a registered direct offering (the “Offering”), 12,205,000 shares of its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The warrants and pre-funded warrants were recorded at fair value of $22.8 million to additional-paid-in-capital in accordance with ASC 815-10 based upon the allocation of the proceeds between the common shares issued with the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 The Company estimated the fair value of the pre-funded warrants based on the market price of the Company's common stock at issuance.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the Company amended, pursuant to Warrant Amendment Agreements (the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or September 22, 2026, for additional consideration of $0.125 per amended warrant. Based on the change in the fair value of the amended warrants, the Company recorded issuance costs to additional paid-in capital of $2.9 million.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gross proceeds of approximately $55.5 million from the Offering, before deducting placement agent fees and related offering expenses. The net proceeds to the Company from the Offering, after deducting the placement agent fees and expenses and the Company’s estimated offering expenses of $4.2 million, were approximately $51.3 million. In addition, the Company received approximately $1.2 million as the gross consideration in connection with the Warrant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Amendment Agreements. The net proceeds of the Warrant Amendment Agreements after deducting placement fees of $0.1 million were approximately $1.1 million.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warrants and pre-funded warrants outstanding for the Company as of March 31, 2023 and December 31, 2022: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650"/>
        <w:gridCol w:w="1432"/>
        <w:gridCol w:w="1436"/>
        <w:gridCol w:w="540"/>
        <w:gridCol w:w="541"/>
        <w:gridCol w:w="362"/>
        <w:gridCol w:w="109"/>
        <w:gridCol w:w="109"/>
        <w:gridCol w:w="109"/>
        <w:gridCol w:w="574"/>
        <w:gridCol w:w="542"/>
        <w:gridCol w:w="457"/>
        <w:gridCol w:w="109"/>
        <w:gridCol w:w="109"/>
        <w:gridCol w:w="109"/>
        <w:gridCol w:w="433"/>
        <w:gridCol w:w="1264"/>
        <w:gridCol w:w="320"/>
      </w:tblGrid>
      <w:tr>
        <w:trPr/>
        <w:tc>
          <w:tcPr>
            <w:tcW w:w="1650"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4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4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from 2021 agreement, expiring December 7,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27,940,074 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36,964,286 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from Warrant Amendment Agreements, expiring September 22, 2026</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9,024,212 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20"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from Purchase Agreement, expiring September 22, 2026</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33,170,747 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20"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Pre-funded warrants outstanding, no expiration date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20,965,747 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0.001 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warrants and pre-funded warrants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91,100,780 </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36,964,286 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Subsequent to March 31, 2023, on April 24, 2023, 5,865,747 shares of pre-funded warrants were exercised.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14. Net Loss Per Common Share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shares outstanding at the end of the respective periods presented below were excluded from the calculation of diluted net loss per share due to their anti-dilutive effect:</w:t>
      </w:r>
    </w:p>
    <w:tbl>
      <w:tblPr>
        <w:tblW w:w="7610" w:type="dxa"/>
        <w:jc w:val="center"/>
        <w:tblInd w:w="0" w:type="dxa"/>
        <w:tblCellMar>
          <w:top w:w="28" w:type="dxa"/>
          <w:left w:w="28" w:type="dxa"/>
          <w:bottom w:w="28" w:type="dxa"/>
          <w:right w:w="28" w:type="dxa"/>
        </w:tblCellMar>
      </w:tblPr>
      <w:tblGrid>
        <w:gridCol w:w="1602"/>
        <w:gridCol w:w="1406"/>
        <w:gridCol w:w="1417"/>
        <w:gridCol w:w="109"/>
        <w:gridCol w:w="109"/>
        <w:gridCol w:w="109"/>
        <w:gridCol w:w="540"/>
        <w:gridCol w:w="541"/>
        <w:gridCol w:w="156"/>
        <w:gridCol w:w="109"/>
        <w:gridCol w:w="109"/>
        <w:gridCol w:w="109"/>
        <w:gridCol w:w="540"/>
        <w:gridCol w:w="541"/>
        <w:gridCol w:w="213"/>
      </w:tblGrid>
      <w:tr>
        <w:trPr/>
        <w:tc>
          <w:tcPr>
            <w:tcW w:w="1602"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under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4,374,452 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4,101,259 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under PBSOs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3,117,397 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1,978,717 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PBRSUs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602,750 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related to the ESPP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8,007,010 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8,007,010 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70,135,033 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36,964,286 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 dilutive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86,292,792 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51,816,979 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15. Statements of Cash Flows and Restricted Cash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reconciliation of cash and cash equivalents and restricted cash presented on the balance sheets to the same amounts presented on the statements of cash flows on March 31, 2023 and 2022 and December 31, 2022 and 2021 (in thousands):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1625"/>
        <w:gridCol w:w="1427"/>
        <w:gridCol w:w="1435"/>
        <w:gridCol w:w="211"/>
        <w:gridCol w:w="826"/>
        <w:gridCol w:w="109"/>
        <w:gridCol w:w="109"/>
        <w:gridCol w:w="109"/>
        <w:gridCol w:w="109"/>
        <w:gridCol w:w="211"/>
        <w:gridCol w:w="826"/>
        <w:gridCol w:w="109"/>
        <w:gridCol w:w="109"/>
        <w:gridCol w:w="109"/>
        <w:gridCol w:w="109"/>
        <w:gridCol w:w="220"/>
        <w:gridCol w:w="864"/>
        <w:gridCol w:w="113"/>
        <w:gridCol w:w="109"/>
        <w:gridCol w:w="109"/>
        <w:gridCol w:w="109"/>
        <w:gridCol w:w="220"/>
        <w:gridCol w:w="863"/>
        <w:gridCol w:w="165"/>
      </w:tblGrid>
      <w:tr>
        <w:trPr/>
        <w:tc>
          <w:tcPr>
            <w:tcW w:w="1625"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4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4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 shown on the condensed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2022 and other filings that we make with the Securities and Exchange Commission.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approval of expanded indications for bempedoic acid and the bempedoic acid / ezetimibe combination tablet and expectations regarding future transactions to further improve our balance sheet to be materially different from any future results, performance or achievements, including in relation to the clinical development, commercialization plans, or approval of expanded indications for bempedoic acid and the bempedoic acid / ezetimibe combination tablet, clinical activities and commercial development plans, expressed or implied by these forward-looking statements.</w:t>
      </w:r>
    </w:p>
    <w:p>
      <w:pPr>
        <w:pStyle w:val="TextBody"/>
        <w:spacing w:before="0" w:after="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The forward-looking statements in this report represent our views as of the date of this quarterly report. Except as required by law, we undertake no obligation to update any forward-looking statements to reflect events or circumstances after the date of such statements.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We use the terms “we,” “us,” “our,” or the "Company” in this report to refer to Esperion Therapeutics,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Corporate Overview</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pharmaceutical company singularly focused on developing and commercializing accessible, oral, once-daily, non-statin medicines for patients struggling with elevated low-density lipoprotein cholesterol, or LDL-C. Through commercial execution and completion of our CLEAR Outcomes trial as well as advancing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 xml:space="preserve">We recently completed a global cardiovascular outcomes trial, or CVOT, — known as </w:t>
      </w:r>
      <w:r>
        <w:rPr>
          <w:rFonts w:ascii="Times New Roman;sans-serif" w:hAnsi="Times New Roman;sans-serif"/>
          <w:b/>
          <w:color w:val="000000"/>
          <w:sz w:val="20"/>
        </w:rPr>
        <w:t>C</w:t>
      </w:r>
      <w:r>
        <w:rPr>
          <w:rFonts w:ascii="Times New Roman;sans-serif" w:hAnsi="Times New Roman;sans-serif"/>
          <w:b w:val="false"/>
          <w:color w:val="000000"/>
          <w:sz w:val="20"/>
        </w:rPr>
        <w:t xml:space="preserve">holesterol </w:t>
      </w:r>
      <w:r>
        <w:rPr>
          <w:rFonts w:ascii="Times New Roman;sans-serif" w:hAnsi="Times New Roman;sans-serif"/>
          <w:b/>
          <w:color w:val="000000"/>
          <w:sz w:val="20"/>
        </w:rPr>
        <w:t>L</w:t>
      </w:r>
      <w:r>
        <w:rPr>
          <w:rFonts w:ascii="Times New Roman;sans-serif" w:hAnsi="Times New Roman;sans-serif"/>
          <w:b w:val="false"/>
          <w:color w:val="000000"/>
          <w:sz w:val="20"/>
        </w:rPr>
        <w:t>owering via B</w:t>
      </w:r>
      <w:r>
        <w:rPr>
          <w:rFonts w:ascii="Times New Roman;sans-serif" w:hAnsi="Times New Roman;sans-serif"/>
          <w:b/>
          <w:color w:val="000000"/>
          <w:sz w:val="20"/>
        </w:rPr>
        <w:t>E</w:t>
      </w:r>
      <w:r>
        <w:rPr>
          <w:rFonts w:ascii="Times New Roman;sans-serif" w:hAnsi="Times New Roman;sans-serif"/>
          <w:b w:val="false"/>
          <w:color w:val="000000"/>
          <w:sz w:val="20"/>
        </w:rPr>
        <w:t xml:space="preserve">mpedoic Acid, an </w:t>
      </w:r>
      <w:r>
        <w:rPr>
          <w:rFonts w:ascii="Times New Roman;sans-serif" w:hAnsi="Times New Roman;sans-serif"/>
          <w:b/>
          <w:color w:val="000000"/>
          <w:sz w:val="20"/>
        </w:rPr>
        <w:t>A</w:t>
      </w:r>
      <w:r>
        <w:rPr>
          <w:rFonts w:ascii="Times New Roman;sans-serif" w:hAnsi="Times New Roman;sans-serif"/>
          <w:b w:val="false"/>
          <w:color w:val="000000"/>
          <w:sz w:val="20"/>
        </w:rPr>
        <w:t xml:space="preserve">CL-inhibiting </w:t>
      </w:r>
      <w:r>
        <w:rPr>
          <w:rFonts w:ascii="Times New Roman;sans-serif" w:hAnsi="Times New Roman;sans-serif"/>
          <w:b/>
          <w:color w:val="000000"/>
          <w:sz w:val="20"/>
        </w:rPr>
        <w:t>R</w:t>
      </w:r>
      <w:r>
        <w:rPr>
          <w:rFonts w:ascii="Times New Roman;sans-serif" w:hAnsi="Times New Roman;sans-serif"/>
          <w:b w:val="false"/>
          <w:color w:val="000000"/>
          <w:sz w:val="20"/>
        </w:rPr>
        <w:t xml:space="preserve">egimen (CLEAR) Outcomes. The trial was designed to evaluate whether treatment with bempedoic acid reduced the risk of cardiovascular events in patients who are statin averse and who have CVD or are at high risk for CVD. We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once the predetermined number of MACE endpoints occurred. On December 7, 2022, we announced that the study had met its primary endpoint.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4, 2023, we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and NEXLIZET® (bempedoic acid and ezetimibe) tablets) now becomes the first LDL-C lowering therapy since statins proven to lower hard ischemic events, not only in those with ASCVD but also in the large number of primary prevention patients for whom limited therapies exist. We believe that we remain on track to submit regulatory filings to the FDA and EMA in the first half of 2023 with expected inclusion in the U.S. and EMA labels in the first half of 2024.</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terms of the contract with Daiichi Sankyo Europe GmbH, or DSE, we are eligible for partner milestone payments upon inclusion of cardiovascular risk reduction data in the EU label, for which payment is tied to the magnitude of the cardiovascular risk percentage reduction included in the label (among other requirements) and ranges from $200 million to $300 million. Based on the CLEAR Outcomes data, we believe we would be entitled to receive $300 million in partner milestone payments upon inclusion of cardiovascular risk reduction data in the EU label.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DSE has conveyed that it disagrees with our assessment that the CLEAR Outcomes data would support the our right to receive any milestone payments upon inclusion of certain required cardiovascular risk reduction data in the EU label. 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On May 4, 2023, we filed an amended complaint against DSE in the Southern District of New York. The complaint seeks a judicial declaration, on an expedited basis, that DSE is contractually required to make a $300 million milestone payment to Esperion upon applicable regulatory approval. Refer to Note 5 "Commitments and Contingencies" in our condensed financial statements included in this Form 10-Q for the quarter ended March 31, 2023 for further information.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enforcing our rights, there could be a delay in our receipt of the milestone payments as a result of any dispute relating to such payments. Any failure to receive or any delay in receipt of the milestone payments may significantly impact our future capital needs, ability to recognize revenue for the milestone upon inclusion of cardiovascular risk reduction data in the EU label, and ability to fund operations.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19, 2023, we entered into a Securities Purchase Agreement (the “Purchase Agreement”) with certain purchasers named therein (the “Purchasers”), pursuant to which we agreed to issue and sell, in a registered direct offering (the “Offering”), 12,205,000 shares of our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In connection with the Offering, we amended, pursuant to Warrant Amendment Agreements (the “Warrant Amendment Agreements”), certain existing warrants to purchase up to an aggregate of 9,024,212 shares of our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gross proceeds of approximately $55.5 million from the Offering, before deducting placement agent fees and related offering expenses. The net proceeds from the Offering, after deducting the placement agent fees and expenses and the Company’s estimated offering expenses, are approximately $51.3 million. In addition, we received approximately $1.2 million as the gross consideration in connection with the Warrant Amendment Agreements. The net proceeds of the Warrant Amendment Agreements after deducting placement fees were approximately $1.1 million. Refer to Note 13 "Stockholders' Deficit" in our condensed financial statements included in this Form 10-Q for the quarter ended March 31, 2023 for further information.</w:t>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in Delaware in January 2008 and commenced our operations in April 2008. Since our inception, we have focused substantially all of our efforts and financial resources on developing and commercializing bempedoic acid and the bempedoic acid / ezetimibe combination tablet. In February 2020, the FDA approved NEXLETOL and NEXLIZET. NEXLETOL was commercially available in the U.S. on March 30, 2020 and NEXLIZET was commercially available in the U.S. on June 4, 2020. We have funded our operations to date primarily through proceeds from sales of preferred stock, convertible promissory notes, warrants and pre-funded warrants, public offerings of common stock, the incurrence of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indebtedness, through collaborations with third parties and revenue interest purchase agreements, and we have incurred losses in each year since our inception.</w:t>
      </w:r>
    </w:p>
    <w:p>
      <w:pPr>
        <w:pStyle w:val="TextBody"/>
        <w:spacing w:lineRule="auto" w:line="268" w:before="0" w:after="0"/>
        <w:rPr/>
      </w:pPr>
      <w:r>
        <w:rPr>
          <w:rFonts w:ascii="Times New Roman;sans-serif" w:hAnsi="Times New Roman;sans-serif"/>
          <w:b w:val="false"/>
          <w:color w:val="000000"/>
          <w:sz w:val="20"/>
        </w:rPr>
        <w:t>We have never been profitable and our net losses were $61.7 million for the three months ended March 31, 2023, and $56.7 million for the three months ended March 31, 2022.</w:t>
      </w:r>
      <w:r>
        <w:rPr>
          <w:color w:val="000000"/>
          <w:highlight w:val="white"/>
        </w:rPr>
        <w:t xml:space="preserve"> </w:t>
      </w:r>
      <w:r>
        <w:rPr>
          <w:rFonts w:ascii="Times New Roman;sans-serif" w:hAnsi="Times New Roman;sans-serif"/>
          <w:b w:val="false"/>
          <w:color w:val="000000"/>
          <w:sz w:val="20"/>
          <w:highlight w:val="white"/>
        </w:rPr>
        <w:t>Substantially all of our net losses resulted from costs incurred in connection with research and development programs and selling, general and administrative costs associated with our operations. W</w:t>
      </w:r>
      <w:r>
        <w:rPr>
          <w:rFonts w:ascii="Times New Roman;sans-serif" w:hAnsi="Times New Roman;sans-serif"/>
          <w:b w:val="false"/>
          <w:color w:val="000000"/>
          <w:sz w:val="20"/>
        </w:rPr>
        <w:t>e expect to incur significant expenses and operating losses for the foreseeable future in connection with our ongoing activities, including, among others:</w:t>
      </w:r>
    </w:p>
    <w:p>
      <w:pPr>
        <w:pStyle w:val="TextBody"/>
        <w:spacing w:before="0" w:after="0"/>
        <w:rPr/>
      </w:pPr>
      <w:r>
        <w:rPr/>
      </w:r>
    </w:p>
    <w:p>
      <w:pPr>
        <w:pStyle w:val="TextBody"/>
        <w:spacing w:lineRule="auto" w:line="288" w:before="0" w:after="240"/>
        <w:ind w:left="0" w:right="0" w:firstLine="720"/>
        <w:rPr/>
      </w:pPr>
      <w:r>
        <w:rPr>
          <w:color w:val="000000"/>
        </w:rPr>
        <w:t>•</w:t>
      </w:r>
      <w:r>
        <w:rPr>
          <w:rFonts w:ascii="Times New Roman;sans-serif" w:hAnsi="Times New Roman;sans-serif"/>
          <w:b w:val="false"/>
          <w:color w:val="000000"/>
          <w:sz w:val="20"/>
        </w:rPr>
        <w:t>commercializing NEXLETOL and NEXLIZET in the U.S; and</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pursuing other research and development activities.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Product Overview</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NILEMDO® is a first-in-class ACL inhibitor that lowers LDL-C by reducing cholesterol biosynthesis and up-regulating the LDL receptors. NILEMDO was approved by the European Commission, or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incurred $21.7 million in expenses related to our CLEAR Outcomes CVOT and other ongoing clinical studies.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incurred $16.0 million in expenses related to our CLEAR Outcomes CVOT and other ongoing clinical studies.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Product sales, net is related to our sales of NEXLETOL and NEXLIZET. NEXLETOL was commercially available in the U.S. on March 30, 2020 and NEXLIZET was commercially available in the U.S. on June 4, 2020.</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Collaboration revenue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 revenue is related to our collaboration agreements with DSE, Otsuka Pharmaceutical Co., Ltd., or Otsuka, and Daiichi Sankyo Co. Ltd, or DS. Collaboration revenue in the three months ended March 31, 2023 and March 31, 2022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is related to our net product sales of NEXLETOL and NEXLIZET and the cost of goods sold from our supply agreements with collaboration partners.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primarily of costs incurred in connection with the development of bempedoic acid and the bempedoic acid / ezetimibe combination tablet, which include:</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expenses incurred under agreements with consultants, contract research organizations, or CROs, and investigative sites that conduct our preclinical and clinical studies;</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pStyle w:val="TextBody"/>
        <w:spacing w:lineRule="auto" w:line="288" w:before="0" w:after="240"/>
        <w:rPr/>
      </w:pPr>
      <w:r>
        <w:rPr>
          <w:color w:val="000000"/>
        </w:rPr>
        <w:t>•</w:t>
      </w:r>
      <w:r>
        <w:rPr>
          <w:rFonts w:ascii="Times New Roman;sans-serif" w:hAnsi="Times New Roman;sans-serif"/>
          <w:b w:val="false"/>
          <w:color w:val="000000"/>
          <w:sz w:val="20"/>
        </w:rPr>
        <w:t>employee-related expenses, including salaries, benefits, stock-based compensation and travel expenses;</w:t>
      </w:r>
    </w:p>
    <w:p>
      <w:pPr>
        <w:pStyle w:val="TextBody"/>
        <w:spacing w:lineRule="auto" w:line="288" w:before="0" w:after="240"/>
        <w:rPr/>
      </w:pPr>
      <w:r>
        <w:rPr>
          <w:color w:val="000000"/>
        </w:rPr>
        <w:t>•</w:t>
      </w:r>
      <w:r>
        <w:rPr>
          <w:rFonts w:ascii="Times New Roman;sans-serif" w:hAnsi="Times New Roman;sans-serif"/>
          <w:b w:val="false"/>
          <w:color w:val="000000"/>
          <w:sz w:val="20"/>
        </w:rPr>
        <w:t>allocated expenses for rent and maintenance of facilities, insurance and other supplies; and</w:t>
      </w:r>
    </w:p>
    <w:p>
      <w:pPr>
        <w:pStyle w:val="TextBody"/>
        <w:spacing w:lineRule="auto" w:line="288" w:before="0" w:after="240"/>
        <w:rPr/>
      </w:pPr>
      <w:r>
        <w:rPr>
          <w:color w:val="000000"/>
        </w:rPr>
        <w:t>•</w:t>
      </w:r>
      <w:r>
        <w:rPr>
          <w:rFonts w:ascii="Times New Roman;sans-serif" w:hAnsi="Times New Roman;sans-serif"/>
          <w:b w:val="false"/>
          <w:color w:val="000000"/>
          <w:sz w:val="20"/>
        </w:rPr>
        <w:t>costs related to compliance with regulatory requirements.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incur research and development expenses in the foreseeable future as they relate to closing-out activities for the CLEAR Outcomes CVOT and any other development programs or additional indications we choose to pursue. We expect research and development expenses to decrease in the second half of 2023 after reporting the full results of the CLEAR Outcomes CVOT and submitting regulatory filings to the FDA and EMA in the first half of 2023.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Europe. For example, if a regulatory authority were to require us to conduct clinical studies beyond those that we currently anticipate that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pStyle w:val="TextBody"/>
        <w:spacing w:lineRule="auto" w:line="256" w:before="0" w:after="240"/>
        <w:rPr>
          <w:rFonts w:ascii="Times New Roman;sans-serif" w:hAnsi="Times New Roman;sans-serif"/>
          <w:b w:val="false"/>
          <w:color w:val="000000"/>
          <w:sz w:val="20"/>
        </w:rPr>
      </w:pPr>
      <w:r>
        <w:rPr>
          <w:rFonts w:ascii="Times New Roman;sans-serif" w:hAnsi="Times New Roman;sans-serif"/>
          <w:b w:val="false"/>
          <w:color w:val="000000"/>
          <w:sz w:val="20"/>
        </w:rPr>
        <w:t>We expect our selling, general and administrative expenses will increase at the end of 2023 now that we reported full results from the CLEAR Outcomes CVOT in connection with potential additional global regulatory submissions for new product indications, expanded commercialization initiatives for NEXLETOL and NEXLIZET and increases in our associated headcount.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related to our Revenue Interest Purchase Agreement, or RIPA, with Eiger III SA LLC, or Oberland, an affiliate of Oberland Capital and our convertible notes issued in November 2020.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Other income, net, primarily relates to interest income and the accretion or amortization of premiums and discounts earned on our cash, cash equivalents and investment securities and in the three months ended March 31, 2022, also included other income related to the sale of lease vehicles associated with the reduction in force.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is based on our financial statements, which have been prepared in accordance with generally accepted accounting principles in the United States of America.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other material changes to the significant accounting policies previously disclosed in our Annual Report on Form 10-K for the fiscal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tbl>
      <w:tblPr>
        <w:tblW w:w="6896" w:type="dxa"/>
        <w:jc w:val="left"/>
        <w:tblInd w:w="0" w:type="dxa"/>
        <w:tblCellMar>
          <w:top w:w="28" w:type="dxa"/>
          <w:left w:w="28" w:type="dxa"/>
          <w:bottom w:w="28" w:type="dxa"/>
          <w:right w:w="28" w:type="dxa"/>
        </w:tblCellMar>
      </w:tblPr>
      <w:tblGrid>
        <w:gridCol w:w="1067"/>
        <w:gridCol w:w="943"/>
        <w:gridCol w:w="944"/>
        <w:gridCol w:w="211"/>
        <w:gridCol w:w="796"/>
        <w:gridCol w:w="109"/>
        <w:gridCol w:w="109"/>
        <w:gridCol w:w="109"/>
        <w:gridCol w:w="109"/>
        <w:gridCol w:w="211"/>
        <w:gridCol w:w="796"/>
        <w:gridCol w:w="109"/>
        <w:gridCol w:w="109"/>
        <w:gridCol w:w="109"/>
        <w:gridCol w:w="109"/>
        <w:gridCol w:w="211"/>
        <w:gridCol w:w="691"/>
        <w:gridCol w:w="154"/>
      </w:tblGrid>
      <w:tr>
        <w:trPr/>
        <w:tc>
          <w:tcPr>
            <w:tcW w:w="106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(48,605)</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(42,989)</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(56,731)</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net for the three months ended March 31, 2023 was $17.0 million compared to $13.4 million for the three months ended March 31, 2022, an increase of approximately $3.6 million. The increase is primarily due to prescription growth of NEXLETOL and NEXLIZET during the first quarter of 2023 compared to the first quarter of 2022.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Collaboration revenue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Collaboration revenue recognized from our collaboration agreements for the three months ended March 31, 2023 was $7.3 million compared to $5.5 million for the three months ended March 31, 2022, an increase of $1.8 million. The increase is primarily due to increased tablet sales to our international partners under the supply agreements and sales growth within the partner territories.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for the three months ended March 31, 2023 was $11.7 million compared to $7.1 million for the three months ended March 31, 2022, an increase of approximately $4.6 million. The increase is primarily related to increased product sales to our collaboration partners from our supply agreements and increased net product sales of NEXLETOL and NEXLIZET.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March 31, 2023, were $31.4 million, compared to $24.3 million for the three months ended March 31, 2022, an increase of $7.1 million. The increase in research and development expenses was primarily attributable to costs associated with the announcement and presentation of our CLEAR Outcomes study results, associated close-out activities, and regulatory submission preparation.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March 31, 2023, were $29.9 million, compared to $30.4 million for the three months ended March 31, 2022, a decrease of $0.5 million. The decrease in selling, general and administrative expenses was primarily attributable to decreases in promotional costs in the first quarter of 2023, as well as decreases in stock compensation costs.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2023, was $14.4 million, compared to $14.1 million for the three months ended March 31, 2022, an increase of $0.3 million. The increase in interest expense was primarily due to additional interest expense attributable to our RIPA with Oberland.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for the three months ended March 31, 2023, was $1.3 million, compared to $0.3 million for the three months ended March 31, 2022, an increase of $1.0 million. The increase in other income, net was primarily due to higher interest income on our investments due to higher interest rates.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68" w:before="0" w:after="0"/>
        <w:rPr/>
      </w:pPr>
      <w:r>
        <w:rPr>
          <w:rFonts w:ascii="Times New Roman;sans-serif" w:hAnsi="Times New Roman;sans-serif"/>
          <w:b w:val="false"/>
          <w:color w:val="000000"/>
          <w:sz w:val="20"/>
        </w:rPr>
        <w:t>While we began to generate revenue from the sales of our products in 2020, we have funded our operations to date primarily through proceeds from sales of preferred stock, convertible promissory notes and warrants, public offerings of common stock, warrants and pre-funded warrants, the incurrence of indebtedness, milestone payments from collaboration agreements and our revenue interest purchase agreement. Pursuant to the license and collaboration agreements with Daiichi Sankyo and Otsuka, we are eligible for substantial additional sales and regulatory milestone payments and royalties. Pursuant to the license and collaboration agreements entered into April 2021 with Daiichi Sankyo, we are eligible for substantial additional sales milestone payments and royalties.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filed on February 21, 2023. We may continue to use the 2023 ATM program or issue stock through other capital markets to address potential funding requirements. On March 19, 2023, we entered into a Securities Purchase Agreement, pursuant to which we agreed to issue and sell, in a registered direct offering, shares of common stock, pre-funded warrants, and warrants to purchase common stock. In connection with the Securities Purchase Agreement, we amended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net proceeds of approximately $51.3 million related to the offering and approximately $1.1 million in connection with the amended warrants. We anticipate that we will incur losses for the foreseeable future as we continue to incur substantial expenses related to the ongoing commercialization of NEXLETOL and NEXLIZET and expenses associated with our research and development activities.</w:t>
      </w:r>
      <w:r>
        <w:rPr>
          <w:color w:val="000000"/>
        </w:rPr>
        <w:t xml:space="preserve"> </w:t>
      </w:r>
      <w:r>
        <w:rPr>
          <w:rFonts w:ascii="Times New Roman;sans-serif" w:hAnsi="Times New Roman;sans-serif"/>
          <w:b w:val="false"/>
          <w:color w:val="000000"/>
          <w:sz w:val="20"/>
        </w:rPr>
        <w:t xml:space="preserve">We anticipate that our current cash, cash equivalents, investments, expected future net product sales of NEXLETOL and NEXLIZET, and expected future revenue under our collaboration agreements is sufficient to fund continuing operations for the foreseeable future. </w:t>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As of March 31, 2023, our primary sources of liquidity were our cash and cash equivalents and available-for-sale investments which totaled $162.3 million. We invest our cash equivalents and investments in highly liquid, interest-bearing investment-grade securities and government securities to preserve principal.</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primary sources and uses of cash for the periods presented below:</w:t>
      </w:r>
    </w:p>
    <w:tbl>
      <w:tblPr>
        <w:tblW w:w="7073" w:type="dxa"/>
        <w:jc w:val="left"/>
        <w:tblInd w:w="0" w:type="dxa"/>
        <w:tblCellMar>
          <w:top w:w="28" w:type="dxa"/>
          <w:left w:w="28" w:type="dxa"/>
          <w:bottom w:w="28" w:type="dxa"/>
          <w:right w:w="28" w:type="dxa"/>
        </w:tblCellMar>
      </w:tblPr>
      <w:tblGrid>
        <w:gridCol w:w="1617"/>
        <w:gridCol w:w="1424"/>
        <w:gridCol w:w="1428"/>
        <w:gridCol w:w="211"/>
        <w:gridCol w:w="796"/>
        <w:gridCol w:w="109"/>
        <w:gridCol w:w="109"/>
        <w:gridCol w:w="109"/>
        <w:gridCol w:w="109"/>
        <w:gridCol w:w="211"/>
        <w:gridCol w:w="796"/>
        <w:gridCol w:w="154"/>
      </w:tblGrid>
      <w:tr>
        <w:trPr/>
        <w:tc>
          <w:tcPr>
            <w:tcW w:w="1617"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(58,528)</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totaled $54.4 million for the three months ended March 31, 2023, compared to $39.0 million for the three months ended March 31, 2022. Net cash used for the three months ended March 31, 2023 and 2022 consisted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of $25.0 million for the three months ended March 31, 2023 consisted of proceeds from the sales of highly liquid, interest bearing investment grade and government securities. Net cash used in investing activities of 18.1 million for the three months ended March 31, 2022 consisted of purchases of highly liquid, interest bearing investment grade and government securities.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Funds invested in available-for-sale investments at March 31, 2023 will become available for our use over the next twelve months.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$49.5 million for the three months ended March 31, 2023 related primarily to proceeds from our registered direct offering, partially offset by payments on our revenue interest liability. Net cash used in financing activities of $1.4 million for the three months ended March 31, 2022 related primarily to payments on our revenue interest liability.</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15, 2022, we filed a new registration statement on Form S-3, which registers the offering, issuance and sale of up to $239 million of common stock from time to time in “at-the-market” offerings, or the New ATM Program. During the year ended December 31, 2022, we issued 13,043,797 shares of common stock, resulting in net proceeds of approximately $90.8 million after deducting $3.1 million of underwriting discounts and commissions and other expenses, pursuant to the New ATM Program.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filed on February 21, 2023. We may continue to use the 2023 ATM Program to address potential short-term or long-term funding requirements that may arise. Such program will continue to be subject to the volatility of the price of our common stock and general market conditions.</w:t>
      </w:r>
    </w:p>
    <w:p>
      <w:pPr>
        <w:pStyle w:val="TextBody"/>
        <w:spacing w:before="0" w:after="0"/>
        <w:rPr/>
      </w:pPr>
      <w:r>
        <w:rPr/>
      </w:r>
    </w:p>
    <w:p>
      <w:pPr>
        <w:pStyle w:val="TextBody"/>
        <w:spacing w:lineRule="auto" w:line="256" w:before="0" w:after="240"/>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an underwriting agreement where we sold 32,142,858 shares of common stock and accompanying warrants to purchase up to an aggregate of 32,142,858 shares of our common stock. We also granted the underwriters a 30-day option to purchase up to 4,821,428 additional shares of common stock and/or accompanying warrants to purchase an aggregate of up to 4,821,428 shares of our common stock. The underwriters exercised the option to purchase additional warrants to purchase 4,821,428 shares of Common Stock. The aggregate net proceeds received by us from the offering was $208.7 million, after deducting underwriting discounts and commissions and other estimated offering expenses payable by us and excluding the net proceeds, if any, from the exercise of the common warrants. The warrants are immediately exercisable and will expire two years from the date of issuance, at an exercise price of $9.00 per share, which may provide us with additional funding, if such warrants are exercised by their holders.</w:t>
      </w:r>
    </w:p>
    <w:p>
      <w:pPr>
        <w:pStyle w:val="TextBody"/>
        <w:spacing w:lineRule="auto" w:line="256"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2023, we entered into a Securities Purchase Agreement, pursuant to which the Company agreed to issue and sell, in a registered direct offering, 12,205,000 shares of common stock, pre-funded warrants to purchase up to an aggregate of 20,965,747 shares of Common Stock, and warrants to purchase up to 33,170,747 shares of Common Stock.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Offering closed on March 22, 2023. Each Warrant is exercisable for one share of Common Stock at an exercise price of $1.55 per share, which may provide us with additional funding, if such warrants are exercised by their holders. The Warrants are immediately exercisable and will expire 3.5 years from the original issuance date. Each Pre-Funded Warrant is exercisable for one share of Common Stock at an exercise price of $0.001 per share. The Pre-Funded Warrants are immediately exercisable and may be exercised at any time until all of the Pre-Funded Warrants are exercised in full. In connection with the Offering, we amended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net proceeds of approximately $51.3 million related to the offering after deducting placement agent fees and related offering expenses of $4.2 million and approximately $1.1 million in connection with the amended warrants after deducting placement fees of $0.1 million. Refer to Note 13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56" w:before="0" w:after="240"/>
        <w:rPr>
          <w:rFonts w:ascii="Times New Roman;sans-serif" w:hAnsi="Times New Roman;sans-serif"/>
          <w:b w:val="false"/>
          <w:color w:val="000000"/>
          <w:sz w:val="20"/>
        </w:rPr>
      </w:pPr>
      <w:r>
        <w:rPr>
          <w:rFonts w:ascii="Times New Roman;sans-serif" w:hAnsi="Times New Roman;sans-serif"/>
          <w:b w:val="false"/>
          <w:color w:val="000000"/>
          <w:sz w:val="20"/>
        </w:rPr>
        <w:t>"Stockholders' Deficit" in our condensed financial statements included in this Form 10-Q for the quarter ended March 31, 2023 for further information.</w:t>
      </w:r>
    </w:p>
    <w:p>
      <w:pPr>
        <w:pStyle w:val="TextBody"/>
        <w:spacing w:lineRule="auto" w:line="256" w:before="0" w:after="240"/>
        <w:rPr>
          <w:rFonts w:ascii="Times New Roman;sans-serif" w:hAnsi="Times New Roman;sans-serif"/>
          <w:b w:val="false"/>
          <w:color w:val="000000"/>
          <w:sz w:val="20"/>
        </w:rPr>
      </w:pPr>
      <w:r>
        <w:rPr>
          <w:rFonts w:ascii="Times New Roman;sans-serif" w:hAnsi="Times New Roman;sans-serif"/>
          <w:b w:val="false"/>
          <w:color w:val="000000"/>
          <w:sz w:val="20"/>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On November 23, 2022, we entered into a waiver and amendment to the RIPA with Oberland, in which we agreed to make a one-time partial call payment with regards to the Revenue Interests (as defined in the RIPA) in an amount equal to $50 million from the restricted cash account (the “Partial Call”). Under this amendment, the amount of the Cumulative Purchaser Payments (as defined in the RIPA) was reduced to $177,777,778.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$26.9 million in the next year to a maximum total payment of $358.1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8 "Liability Related to the Revenue Interest Purchase Agreement" in our condensed financial statements included in this Form 10-Q for the quarter ended March 31, 2023 for further information.</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Convertible Notes held in the aggregate by them (and accrued interest thereon) for shares of our common stock, which closed on November 3, 2021. Future payments under the convertible notes include annual interest of $10.6 million and a principal payment of $265.0 million in 2025. Refer to Note 9 "Convertible Notes" in our condensed financial statements included in this Form 10-Q for the quarter ended March 31, 2023 for further information.</w:t>
      </w:r>
    </w:p>
    <w:p>
      <w:pPr>
        <w:pStyle w:val="TextBody"/>
        <w:spacing w:before="0" w:after="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Plan of Operations and Funding Requirements</w:t>
      </w:r>
    </w:p>
    <w:p>
      <w:pPr>
        <w:pStyle w:val="TextBody"/>
        <w:spacing w:lineRule="auto" w:line="268" w:before="0" w:after="0"/>
        <w:rPr/>
      </w:pPr>
      <w:r>
        <w:rPr>
          <w:rFonts w:ascii="Times New Roman;sans-serif" w:hAnsi="Times New Roman;sans-serif"/>
          <w:b w:val="false"/>
          <w:color w:val="000000"/>
          <w:sz w:val="20"/>
        </w:rPr>
        <w:t>We expect to continue to incur significant expenses and operating losses for the foreseeable future in connection with study completion activities for our ongoing CLEAR Outcomes CVOT and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allow us to fund continuing operations for the foreseeable future. We have based these estimates on assumptions that may prove to be wrong, and we may use our available capital resources sooner than we currently expect. We may need to secure additional cash resources or implement certain additional cost reduction initiatives to continue to fund the commercialization and further development of bempedoic acid and the bempedoic acid / ezetimibe combination tablet, particularly if our net product sales do not meet our expectations. We</w:t>
      </w:r>
      <w:r>
        <w:rPr>
          <w:color w:val="000000"/>
          <w:highlight w:val="white"/>
        </w:rPr>
        <w:t xml:space="preserve"> </w:t>
      </w:r>
      <w:r>
        <w:rPr>
          <w:rFonts w:ascii="Times New Roman;sans-serif" w:hAnsi="Times New Roman;sans-serif"/>
          <w:b w:val="false"/>
          <w:color w:val="000000"/>
          <w:sz w:val="20"/>
          <w:highlight w:val="white"/>
        </w:rPr>
        <w:t>caution that receipt of any milestone payment amounts is subject to risks and uncertainties, including the Company obtaining the relevant regulatory approvals and marketing authorizations, the approval of the required EU and US labels,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or a delay in receipt of some or all of our milestone payments and other royalty amounts from our collaboration partners may significantly impact our future capital needs and ability to fund operations.</w:t>
      </w:r>
      <w:r>
        <w:rPr>
          <w:color w:val="000000"/>
        </w:rPr>
        <w:t xml:space="preserve"> </w:t>
      </w:r>
      <w:r>
        <w:rPr>
          <w:rFonts w:ascii="Times New Roman;sans-serif" w:hAnsi="Times New Roman;sans-serif"/>
          <w:b w:val="false"/>
          <w:color w:val="000000"/>
          <w:sz w:val="20"/>
        </w:rPr>
        <w:t>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before="0" w:after="0"/>
        <w:rPr/>
      </w:pPr>
      <w:r>
        <w:rPr/>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our ability to successfully develop and commercialize NEXLETOL and NEXLIZET or other product candidates;</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the costs, timing and outcomes of our ongoing clinical studies of bempedoic acid and the bempedoic acid / ezetimibe combination tablet;</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the time and cost necessary to obtain regulatory approvals for bempedoic acid and the bempedoic acid / ezetimibe combination tablet outside the U.S. and Europe and regulatory approvals for cardiovascular risk reduction in the U.S. and Europe;</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our ability to establish any future collaboration or commercialization arrangements on favorable terms, if at all;</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our ability to realize the intended benefits of our existing and future collaboration and partnerships, including receiving potential milestone payments from collaboration partners;</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 and</w:t>
      </w:r>
    </w:p>
    <w:p>
      <w:pPr>
        <w:pStyle w:val="TextBody"/>
        <w:spacing w:lineRule="auto" w:line="288" w:before="0" w:after="240"/>
        <w:ind w:left="0" w:right="0" w:hanging="720"/>
        <w:rPr/>
      </w:pPr>
      <w:r>
        <w:rPr>
          <w:color w:val="000000"/>
        </w:rPr>
        <w:t>•</w:t>
      </w:r>
      <w:r>
        <w:rPr>
          <w:rFonts w:ascii="Times New Roman;sans-serif" w:hAnsi="Times New Roman;sans-serif"/>
          <w:b w:val="false"/>
          <w:color w:val="000000"/>
          <w:sz w:val="20"/>
        </w:rPr>
        <w:t>the implementation of operational and financial information technology.</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if ever, as we can generate U.S. substantial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 </w:t>
      </w:r>
    </w:p>
    <w:p>
      <w:pPr>
        <w:pStyle w:val="TextBody"/>
        <w:spacing w:before="0" w:after="0"/>
        <w:ind w:left="0" w:right="0" w:firstLine="72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did we have during the periods presented, any off-balance sheet arrangements as defined by Securities and Exchange Commission rules.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the information appearing in Part II, Item 7A, “Quantitative and Qualitative Disclosures About Market Risk,” in our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Controls and Procedures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As of March 31, 2023,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2023, our disclosure controls and procedures were effective at the reasonable assurance level.</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our internal control over financial reporting that occurred during the period covered by this report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with respect to this item can be found under “Commitments and Contingencies” in Note 5 to our condensed financial statements included elsewhere in this Form 10-Q and is incorporated by reference into this Item 1.</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Except for the historical information contained herein or incorporated by reference, this report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report. Factors that could cause or contribute to these differences include, but are not limited to, those discussed in Part I, Item 2 entitled "Management's Discussion and Analysis of Financial Condition and Results of Operations" and elsewhere throughout this report and in any documents incorporated in this report by reference.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following risk factors, together with those set forth in Part I, Item 1A in our Annual Report on Form 10-K for the fiscal year ended December 31, 2022 and in all of the other information included or incorporated in this report. The following risk factors represent new risk factors or those containing changes, including material changes, to the risk factors set forth in Part I, Item 1A of our Annual Report on Form 10-K for the fiscal year ended December 31, 2022.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a collaborative partner terminates or fails to perform its obligations under an agreement with us, the commercialization of bempedoic acid and the bempedoic acid / ezetimibe combination tablet could be delayed or terminated, and the receipt of any milestone payment could be delayed.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2019, we entered into a license and collaboration agreement with Daiichi Sankyo Europe GmbH, or DSE, pursuant to which DSE will be responsible for the commercialization of bempedoic acid and the bempedoic acid / ezetimibe combination tablet in the DSE Territory. In April 2020, we entered into a license and collaboration agreement with Otsuka Pharmaceutical Co., Ltd., or Otsuka, pursuant to which Otsuka will be responsible for the commercialization of bempedoic acid and the bempedoic acid / ezetimibe combination tablet in Japan. Otsuka will be responsible for all development and regulatory activities in Japan. In addition, Otsuka will fund all clinical development costs associated with the program in Japan, if approved. In April 2021, we entered into a license and collaboration agreement with Daiichi Sankyo Co. Ltd, or DS, pursuant to which DS will be responsible for the commercialization of bempedoic acid and the bempedoic acid / ezetimibe combination in South Korea, Taiwan, Hong Kong, Thailand, Vietnam, Brazil, Macao, Cambodia and Myanmar, or the DS Territory. Except for certain development activities in South Korea and Taiwan, DS will be responsible for development and commercialization in these territories. We may also enter into similar arrangements with other partners or collaborators to commercialize bempedoic acid and the bempedoic acid / ezetimibe combination tablet, outside of the United States, Europe, Japan, or the DS Territory, or to further commercialize bempedoic acid or the bempedoic acid / ezetimibe combination tablet in the broader cholesterol modifying market in the United States. If DSE, Otsuka, DS or any of our future collaborative partners does not devote sufficient time and resources to the collaboration arrangement with us, we may not realize the potential commercial benefits of the arrangement, and our results of operations may be materially adversely affected. In addition, if DSE, Otsuka or DS or any such future collaboration partner were to breach or terminate its arrangements with us, the commercialization of bempedoic acid or the bempedoic acid / ezetimibe combination tablet could be delayed, curtailed or terminated because we may not have sufficient financial resources or capabilities to continue commercialization of bempedoic acid or the bempedoic acid / ezetimibe combination tablet on our own in such locations. 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On May 4, 2023, we filed an amended complaint against DSE in the Southern District of New York which seeks a judicial declaration, on an expedited basis, that DSE is contractually required to make a $300 million milestone payment to the Company upon applicable regulatory approval. Even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successful in enforcing our rights, there could be a delay in our receipt of the milestone payments as a result of this or any other dispute relating to such payments. Any failure to receive or any delay in receipt of the milestone payments may significantly impact our future capital needs.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collaboration arrangement with DSE, we will receive significant commercial and regulatory milestone payments, as well as tiered fifteen percent (15%) to twenty-five percent (25%) royalties on certain net DSE Territory sales. Pursuant to the collaboration arrangement with Otsuka, we will receive significant commercial and regulatory milestone payments, as well as tiered fifteen percent (15%) to thirty percent (30%) royalties on certain net sales in Japan. Pursuant to the collaboration agreement with DS, we will receive significant commercial milestone payments, as well as tiered royalties ranging from five percent (5%) to twenty percent (20%) on net sales in the DS Territory. Similar to these collaboration arrangements, much of the potential revenue from future collaborations may consist of contingent payments, such as payments for achieving regulatory milestones or royalties payable on sales of drugs. The milestone and royalty revenue that we may receive under these collaborations will depend upon our collaborators’ ability to successfully introduce, market and sell new products, and on our ability to obtain the relevant regulatory approvals. In addition, collaborators may decide to enter into arrangements with third parties to commercialize products developed under collaborations using our technologies, which could reduce the milestone and royalty revenue that we may receive, if any. DSE, Otsuka, DS and our future collaboration partners may fail to develop or effectively commercialize products using our products or technologies because they: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decide not to devote the necessary resources due to internal constraints, such as limited personnel with the requisite expertise, limited cash resources or specialized equipment limitations, or the belief that other drug development programs may have a higher likelihood of obtaining marketing approval or may potentially generate a greater return on investment;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decide to pursue other technologies or develop other product candidates, either on their own or in collaboration with others, including our competitors, to treat the same diseases targeted by our own collaborative programs;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do not have sufficient resources necessary to carry the product candidate through clinical development, marketing approval and commercialization; or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cannot obtain the necessary marketing approvals.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Receipt of any milestone payment amounts is subject to risks and uncertainties, including our obtaining the relevant regulatory approvals and marketing authorizations, the approval of the required EU and US labels,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some or all of our milestone payments and other royalty amounts from our collaboration partners may significantly impact our future capital needs.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Competition may negatively impact a partner’s focus on and commitment to bempedoic acid or the bempedoic acid / ezetimibe combination tablet and, as a result, could delay or otherwise negatively affect the commercialization of bempedoic acid or the bempedoic acid / ezetimibe combination tablet outside of the United States or in the broader cholesterol modifying market in the United States. If DSE, Otsuka, DS and our future collaboration partners fail to develop or effectively commercialize bempedoic acid or the bempedoic acid / ezetimibe combination tablet for any of these reasons, our sales of bempedoic acid or the bempedoic acid / ezetimibe combination tablet may be limited, which would have a material adverse effect on our operating results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Conditions in the banking system and financial markets, including the failure of banks and financial institutions, could have an adverse effect on our operations and financial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and March 12, 2023, the Federal Deposit Insurance Corporation took control and was appointed receiver of Silicon Valley Bank, or SVB, and Signature Bank and Silvergate Capital Corp, or Silvergate Capital, respectively, after each bank was unable to continue their operations. These events exposed vulnerabilities in the banking sector, including legal uncertainties, significant volatility and contagion risk, and caused market prices of regional bank stocks to plummet.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we have no exposure to SVB, Signature Bank and Silvergate Capital; however,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SVB, Signature Bank and Silvergate Capital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exhibits filed or furnished as part of this Quarterly Report on Form 10-Q are set forth on the Exhibit Index, which Exhibit Index is incorporated herein by reference.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56"/>
        <w:gridCol w:w="224"/>
        <w:gridCol w:w="226"/>
        <w:gridCol w:w="109"/>
        <w:gridCol w:w="109"/>
        <w:gridCol w:w="109"/>
        <w:gridCol w:w="1624"/>
        <w:gridCol w:w="1490"/>
        <w:gridCol w:w="1507"/>
        <w:gridCol w:w="109"/>
        <w:gridCol w:w="109"/>
        <w:gridCol w:w="109"/>
        <w:gridCol w:w="245"/>
        <w:gridCol w:w="245"/>
        <w:gridCol w:w="246"/>
        <w:gridCol w:w="109"/>
        <w:gridCol w:w="109"/>
        <w:gridCol w:w="109"/>
        <w:gridCol w:w="210"/>
        <w:gridCol w:w="210"/>
        <w:gridCol w:w="211"/>
        <w:gridCol w:w="109"/>
        <w:gridCol w:w="109"/>
        <w:gridCol w:w="109"/>
        <w:gridCol w:w="364"/>
        <w:gridCol w:w="331"/>
        <w:gridCol w:w="332"/>
        <w:gridCol w:w="109"/>
        <w:gridCol w:w="109"/>
        <w:gridCol w:w="109"/>
        <w:gridCol w:w="245"/>
        <w:gridCol w:w="245"/>
        <w:gridCol w:w="359"/>
      </w:tblGrid>
      <w:tr>
        <w:trPr/>
        <w:tc>
          <w:tcPr>
            <w:tcW w:w="25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to:</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 or</w:t>
              <w:br/>
              <w:t>Schedule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 with</w:t>
              <w:br/>
              <w:t>SEC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w:t>
              <w:br/>
              <w:t>Number</w:t>
            </w:r>
          </w:p>
        </w:tc>
      </w:tr>
      <w:tr>
        <w:trPr/>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
              <w:r>
                <w:rPr>
                  <w:rStyle w:val="InternetLink"/>
                  <w:rFonts w:ascii="Times New Roman;sans-serif" w:hAnsi="Times New Roman;sans-serif"/>
                  <w:b w:val="false"/>
                  <w:color w:val="0000FF"/>
                  <w:sz w:val="18"/>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18"/>
                  <w:u w:val="single"/>
                </w:rPr>
                <w:t>Amended and Restated Certificate of Incorporation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12, 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333-188595</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
              <w:r>
                <w:rPr>
                  <w:rStyle w:val="InternetLink"/>
                  <w:rFonts w:ascii="Times New Roman;sans-serif" w:hAnsi="Times New Roman;sans-serif"/>
                  <w:b w:val="false"/>
                  <w:color w:val="0000FF"/>
                  <w:sz w:val="18"/>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8"/>
                  <w:u w:val="single"/>
                </w:rPr>
                <w:t>Certificate of Amendment to Amended and Restated Certificate of Incorporation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
              <w:r>
                <w:rPr>
                  <w:rStyle w:val="InternetLink"/>
                  <w:rFonts w:ascii="Times New Roman;sans-serif" w:hAnsi="Times New Roman;sans-serif"/>
                  <w:b w:val="false"/>
                  <w:color w:val="0000FF"/>
                  <w:sz w:val="18"/>
                  <w:u w:val="single"/>
                </w:rPr>
                <w:t>3.3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8"/>
                  <w:u w:val="single"/>
                </w:rPr>
                <w:t>Certificate of Validation relating to Certificate of Amendment to the Amended and Restated Certificate of Incorporation of the Registrant dated May 26,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
              <w:r>
                <w:rPr>
                  <w:rStyle w:val="InternetLink"/>
                  <w:rFonts w:ascii="Times New Roman;sans-serif" w:hAnsi="Times New Roman;sans-serif"/>
                  <w:b w:val="false"/>
                  <w:color w:val="0000FF"/>
                  <w:sz w:val="18"/>
                  <w:u w:val="single"/>
                </w:rPr>
                <w:t>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18"/>
                  <w:u w:val="single"/>
                </w:rPr>
                <w:t>Second Amended and Restated Bylaws of the Registrant dated April 29,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4,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
              <w:r>
                <w:rPr>
                  <w:rStyle w:val="InternetLink"/>
                  <w:rFonts w:ascii="Times New Roman;sans-serif" w:hAnsi="Times New Roman;sans-serif"/>
                  <w:b w:val="false"/>
                  <w:color w:val="0000FF"/>
                  <w:sz w:val="18"/>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18"/>
                  <w:u w:val="single"/>
                </w:rPr>
                <w:t>Specimen Common Stock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12, 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333-188595</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2">
              <w:r>
                <w:rPr>
                  <w:rStyle w:val="InternetLink"/>
                  <w:rFonts w:ascii="Times New Roman;sans-serif" w:hAnsi="Times New Roman;sans-serif"/>
                  <w:b w:val="false"/>
                  <w:color w:val="0000FF"/>
                  <w:sz w:val="18"/>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18"/>
                  <w:u w:val="single"/>
                </w:rPr>
                <w:t>Form of Securities Purchase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4">
              <w:r>
                <w:rPr>
                  <w:rStyle w:val="InternetLink"/>
                  <w:rFonts w:ascii="Times New Roman;sans-serif" w:hAnsi="Times New Roman;sans-serif"/>
                  <w:b w:val="false"/>
                  <w:color w:val="0000FF"/>
                  <w:sz w:val="18"/>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18"/>
                  <w:u w:val="single"/>
                </w:rPr>
                <w:t>Form of Warrant Amendment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001-35986</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spr-ex311x03312023.htm">
              <w:r>
                <w:rPr>
                  <w:rStyle w:val="InternetLink"/>
                  <w:rFonts w:ascii="Times New Roman;sans-serif" w:hAnsi="Times New Roman;sans-serif"/>
                  <w:b w:val="false"/>
                  <w:color w:val="0000FF"/>
                  <w:sz w:val="18"/>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spr-ex311x03312023.htm">
              <w:r>
                <w:rPr>
                  <w:rStyle w:val="InternetLink"/>
                  <w:rFonts w:ascii="Times New Roman;sans-serif" w:hAnsi="Times New Roman;sans-serif"/>
                  <w:b w:val="false"/>
                  <w:color w:val="0000FF"/>
                  <w:sz w:val="18"/>
                  <w:u w:val="single"/>
                </w:rPr>
                <w:t>Certification of Principal Executive Officer pursuant to Rule 13a-14(a) and Rule 15d-14(a) of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spr-ex312x03312023.htm">
              <w:r>
                <w:rPr>
                  <w:rStyle w:val="InternetLink"/>
                  <w:rFonts w:ascii="Times New Roman;sans-serif" w:hAnsi="Times New Roman;sans-serif"/>
                  <w:b w:val="false"/>
                  <w:color w:val="0000FF"/>
                  <w:sz w:val="18"/>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spr-ex312x03312023.htm">
              <w:r>
                <w:rPr>
                  <w:rStyle w:val="InternetLink"/>
                  <w:rFonts w:ascii="Times New Roman;sans-serif" w:hAnsi="Times New Roman;sans-serif"/>
                  <w:b w:val="false"/>
                  <w:color w:val="0000FF"/>
                  <w:sz w:val="18"/>
                  <w:u w:val="single"/>
                </w:rPr>
                <w:t>Certification of Principal Financial Officer pursuant to Rule 13a-14(a) and Rule 15d-14(a) of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spr-ex321x03312023.htm">
              <w:r>
                <w:rPr>
                  <w:rStyle w:val="InternetLink"/>
                  <w:rFonts w:ascii="Times New Roman;sans-serif" w:hAnsi="Times New Roman;sans-serif"/>
                  <w:b w:val="false"/>
                  <w:color w:val="0000FF"/>
                  <w:sz w:val="18"/>
                  <w:u w:val="single"/>
                </w:rPr>
                <w:t>32.1</w:t>
              </w:r>
            </w:hyperlink>
            <w:hyperlink w:anchor="espr-ex321x03312023.htm">
              <w:r>
                <w:rPr>
                  <w:rStyle w:val="InternetLink"/>
                  <w:rFonts w:ascii="Times New Roman;sans-serif" w:hAnsi="Times New Roman;sans-serif"/>
                  <w:b w:val="false"/>
                  <w:color w:val="0000FF"/>
                  <w:sz w:val="20"/>
                  <w:u w:val="single"/>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spr-ex321x03312023.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Exhibits 101.*)</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9237fb157928404b96a8fc7ef6f6efba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866" w:type="dxa"/>
        <w:jc w:val="left"/>
        <w:tblInd w:w="0" w:type="dxa"/>
        <w:tblCellMar>
          <w:top w:w="28" w:type="dxa"/>
          <w:left w:w="28" w:type="dxa"/>
          <w:bottom w:w="28" w:type="dxa"/>
          <w:right w:w="28" w:type="dxa"/>
        </w:tblCellMar>
      </w:tblPr>
      <w:tblGrid>
        <w:gridCol w:w="417"/>
        <w:gridCol w:w="368"/>
        <w:gridCol w:w="370"/>
        <w:gridCol w:w="467"/>
        <w:gridCol w:w="467"/>
        <w:gridCol w:w="467"/>
        <w:gridCol w:w="1552"/>
        <w:gridCol w:w="1552"/>
        <w:gridCol w:w="2206"/>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ESPERION THERAPEUTICS, INC.</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Sheldon L. Koenig</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Sheldon L. Koenig</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Halladay</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Halladay</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5310"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5310"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5310"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5310" w:type="dxa"/>
            <w:gridSpan w:val="3"/>
            <w:tcBorders/>
            <w:shd w:fill="auto" w:val="cle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24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Sheldon L. Koenig, certify that:</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2023, of Esperion Therapeutics, Inc.;</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5261"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949"/>
        <w:gridCol w:w="949"/>
        <w:gridCol w:w="134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Sheldon L. Koenig</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Sheldon L. Koenig</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24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Benjamin Halladay, certify that:</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2023, of Esperion Therapeutics, Inc.;</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331"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552"/>
        <w:gridCol w:w="1552"/>
        <w:gridCol w:w="220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Halladay</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Halladay</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Esperion Therapeutics, Inc. (the “Company”) for the period ended March 31, 2023,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which this statement accompanies fully complies with the requirements of Section 13(a) or 15(d) of the Securities Exchange Act of 1934, as amended; and</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7330"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555"/>
        <w:gridCol w:w="1555"/>
        <w:gridCol w:w="219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219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Sheldon L. Koenig</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Sheldon L. Koenig</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Halladay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Halladay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4868/000104746913006896/a2215641zex-3_2.htm" TargetMode="External"/><Relationship Id="rId3" Type="http://schemas.openxmlformats.org/officeDocument/2006/relationships/hyperlink" Target="https://www.sec.gov/Archives/edgar/data/1434868/000104746913006896/a2215641zex-3_2.htm" TargetMode="External"/><Relationship Id="rId4" Type="http://schemas.openxmlformats.org/officeDocument/2006/relationships/hyperlink" Target="https://www.sec.gov/Archives/edgar/data/1434868/000162828022015488/exhibit31.htm" TargetMode="External"/><Relationship Id="rId5" Type="http://schemas.openxmlformats.org/officeDocument/2006/relationships/hyperlink" Target="https://www.sec.gov/Archives/edgar/data/1434868/000162828022015488/exhibit31.htm" TargetMode="External"/><Relationship Id="rId6" Type="http://schemas.openxmlformats.org/officeDocument/2006/relationships/hyperlink" Target="https://www.sec.gov/Archives/edgar/data/1434868/000162828022025245/exhibit31certificateofvali.htm" TargetMode="External"/><Relationship Id="rId7" Type="http://schemas.openxmlformats.org/officeDocument/2006/relationships/hyperlink" Target="https://www.sec.gov/Archives/edgar/data/1434868/000162828022025245/exhibit31certificateofvali.htm" TargetMode="External"/><Relationship Id="rId8" Type="http://schemas.openxmlformats.org/officeDocument/2006/relationships/hyperlink" Target="https://www.sec.gov/Archives/edgar/data/1434868/000162828021008918/ex31-secondamendedandresta.htm" TargetMode="External"/><Relationship Id="rId9" Type="http://schemas.openxmlformats.org/officeDocument/2006/relationships/hyperlink" Target="https://www.sec.gov/Archives/edgar/data/1434868/000162828021008918/ex31-secondamendedandresta.htm" TargetMode="External"/><Relationship Id="rId10" Type="http://schemas.openxmlformats.org/officeDocument/2006/relationships/hyperlink" Target="https://www.sec.gov/Archives/edgar/data/1434868/000104746913006896/a2215641zex-4_1.htm" TargetMode="External"/><Relationship Id="rId11" Type="http://schemas.openxmlformats.org/officeDocument/2006/relationships/hyperlink" Target="https://www.sec.gov/Archives/edgar/data/1434868/000104746913006896/a2215641zex-4_1.htm" TargetMode="External"/><Relationship Id="rId12" Type="http://schemas.openxmlformats.org/officeDocument/2006/relationships/hyperlink" Target="https://www.sec.gov/Archives/edgar/data/1434868/000110465923035634/tm2310183d1_ex10-1.htm" TargetMode="External"/><Relationship Id="rId13" Type="http://schemas.openxmlformats.org/officeDocument/2006/relationships/hyperlink" Target="https://www.sec.gov/Archives/edgar/data/1434868/000110465923035634/tm2310183d1_ex10-1.htm" TargetMode="External"/><Relationship Id="rId14" Type="http://schemas.openxmlformats.org/officeDocument/2006/relationships/hyperlink" Target="https://www.sec.gov/Archives/edgar/data/1434868/000110465923035634/tm2310183d1_ex10-2.htm" TargetMode="External"/><Relationship Id="rId15" Type="http://schemas.openxmlformats.org/officeDocument/2006/relationships/hyperlink" Target="https://www.sec.gov/Archives/edgar/data/1434868/000110465923035634/tm2310183d1_ex10-2.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24722</Words>
  <CharactersWithSpaces>161459</CharactersWithSpaces>
  <Paragraphs>1517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