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431800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52070</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6" w:lineRule="exact"/>
        <w:rPr>
          <w:sz w:val="24"/>
          <w:szCs w:val="24"/>
          <w:color w:val="auto"/>
        </w:rPr>
      </w:pPr>
    </w:p>
    <w:p>
      <w:pPr>
        <w:ind w:left="1620" w:hanging="582"/>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20" w:hanging="582"/>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Arial" w:cs="Arial" w:eastAsia="Arial" w:hAnsi="Arial"/>
                <w:sz w:val="16"/>
                <w:szCs w:val="16"/>
                <w:b w:val="1"/>
                <w:bCs w:val="1"/>
                <w:color w:val="auto"/>
              </w:rPr>
              <w:t>For the transition period from</w:t>
            </w:r>
          </w:p>
        </w:tc>
        <w:tc>
          <w:tcPr>
            <w:tcW w:w="4320" w:type="dxa"/>
            <w:vAlign w:val="bottom"/>
          </w:tcPr>
          <w:p>
            <w:pPr>
              <w:spacing w:after="0"/>
              <w:rPr>
                <w:sz w:val="20"/>
                <w:szCs w:val="20"/>
                <w:color w:val="auto"/>
              </w:rPr>
            </w:pPr>
            <w:r>
              <w:rPr>
                <w:rFonts w:ascii="Arial" w:cs="Arial" w:eastAsia="Arial" w:hAnsi="Arial"/>
                <w:sz w:val="16"/>
                <w:szCs w:val="16"/>
                <w:b w:val="1"/>
                <w:bCs w:val="1"/>
                <w:color w:val="auto"/>
              </w:rPr>
              <w:t>to</w:t>
            </w:r>
          </w:p>
        </w:tc>
      </w:tr>
      <w:tr>
        <w:trPr>
          <w:trHeight w:val="383"/>
        </w:trPr>
        <w:tc>
          <w:tcPr>
            <w:tcW w:w="3700" w:type="dxa"/>
            <w:vAlign w:val="bottom"/>
          </w:tcPr>
          <w:p>
            <w:pPr>
              <w:spacing w:after="0"/>
              <w:rPr>
                <w:sz w:val="24"/>
                <w:szCs w:val="24"/>
                <w:color w:val="auto"/>
              </w:rPr>
            </w:pPr>
          </w:p>
        </w:tc>
        <w:tc>
          <w:tcPr>
            <w:tcW w:w="3200" w:type="dxa"/>
            <w:vAlign w:val="bottom"/>
          </w:tcPr>
          <w:p>
            <w:pPr>
              <w:jc w:val="center"/>
              <w:ind w:left="573"/>
              <w:spacing w:after="0"/>
              <w:rPr>
                <w:sz w:val="20"/>
                <w:szCs w:val="20"/>
                <w:color w:val="auto"/>
              </w:rPr>
            </w:pPr>
            <w:r>
              <w:rPr>
                <w:rFonts w:ascii="Arial" w:cs="Arial" w:eastAsia="Arial" w:hAnsi="Arial"/>
                <w:sz w:val="16"/>
                <w:szCs w:val="16"/>
                <w:b w:val="1"/>
                <w:bCs w:val="1"/>
                <w:color w:val="auto"/>
                <w:w w:val="91"/>
              </w:rPr>
              <w:t>Commission file number: 001-35986</w:t>
            </w:r>
          </w:p>
        </w:tc>
        <w:tc>
          <w:tcPr>
            <w:tcW w:w="4320" w:type="dxa"/>
            <w:vAlign w:val="bottom"/>
          </w:tcPr>
          <w:p>
            <w:pPr>
              <w:spacing w:after="0"/>
              <w:rPr>
                <w:sz w:val="24"/>
                <w:szCs w:val="24"/>
                <w:color w:val="auto"/>
              </w:rPr>
            </w:pPr>
          </w:p>
        </w:tc>
      </w:tr>
      <w:tr>
        <w:trPr>
          <w:trHeight w:val="409"/>
        </w:trPr>
        <w:tc>
          <w:tcPr>
            <w:tcW w:w="3700" w:type="dxa"/>
            <w:vAlign w:val="bottom"/>
          </w:tcPr>
          <w:p>
            <w:pPr>
              <w:spacing w:after="0"/>
              <w:rPr>
                <w:sz w:val="24"/>
                <w:szCs w:val="24"/>
                <w:color w:val="auto"/>
              </w:rPr>
            </w:pPr>
          </w:p>
        </w:tc>
        <w:tc>
          <w:tcPr>
            <w:tcW w:w="7520" w:type="dxa"/>
            <w:vAlign w:val="bottom"/>
            <w:gridSpan w:val="2"/>
          </w:tcPr>
          <w:p>
            <w:pPr>
              <w:jc w:val="center"/>
              <w:ind w:right="3602"/>
              <w:spacing w:after="0"/>
              <w:rPr>
                <w:sz w:val="20"/>
                <w:szCs w:val="20"/>
                <w:color w:val="auto"/>
              </w:rPr>
            </w:pPr>
            <w:r>
              <w:rPr>
                <w:rFonts w:ascii="Arial" w:cs="Arial" w:eastAsia="Arial" w:hAnsi="Arial"/>
                <w:sz w:val="32"/>
                <w:szCs w:val="32"/>
                <w:b w:val="1"/>
                <w:bCs w:val="1"/>
                <w:color w:val="auto"/>
                <w:w w:val="91"/>
              </w:rPr>
              <w:t>Esperion Therapeutics, Inc.</w:t>
            </w:r>
          </w:p>
        </w:tc>
      </w:tr>
      <w:tr>
        <w:trPr>
          <w:trHeight w:val="206"/>
        </w:trPr>
        <w:tc>
          <w:tcPr>
            <w:tcW w:w="3700" w:type="dxa"/>
            <w:vAlign w:val="bottom"/>
          </w:tcPr>
          <w:p>
            <w:pPr>
              <w:spacing w:after="0"/>
              <w:rPr>
                <w:sz w:val="17"/>
                <w:szCs w:val="17"/>
                <w:color w:val="auto"/>
              </w:rPr>
            </w:pPr>
          </w:p>
        </w:tc>
        <w:tc>
          <w:tcPr>
            <w:tcW w:w="7520" w:type="dxa"/>
            <w:vAlign w:val="bottom"/>
            <w:gridSpan w:val="2"/>
          </w:tcPr>
          <w:p>
            <w:pPr>
              <w:jc w:val="center"/>
              <w:ind w:right="3582"/>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24"/>
        </w:trPr>
        <w:tc>
          <w:tcPr>
            <w:tcW w:w="3700" w:type="dxa"/>
            <w:vAlign w:val="bottom"/>
          </w:tcPr>
          <w:p>
            <w:pPr>
              <w:jc w:val="center"/>
              <w:ind w:left="1602"/>
              <w:spacing w:after="0"/>
              <w:rPr>
                <w:sz w:val="20"/>
                <w:szCs w:val="20"/>
                <w:color w:val="auto"/>
              </w:rPr>
            </w:pPr>
            <w:r>
              <w:rPr>
                <w:rFonts w:ascii="Arial" w:cs="Arial" w:eastAsia="Arial" w:hAnsi="Arial"/>
                <w:sz w:val="16"/>
                <w:szCs w:val="16"/>
                <w:b w:val="1"/>
                <w:bCs w:val="1"/>
                <w:color w:val="auto"/>
                <w:w w:val="93"/>
              </w:rPr>
              <w:t>Delaware</w:t>
            </w:r>
          </w:p>
        </w:tc>
        <w:tc>
          <w:tcPr>
            <w:tcW w:w="3200" w:type="dxa"/>
            <w:vAlign w:val="bottom"/>
          </w:tcPr>
          <w:p>
            <w:pPr>
              <w:spacing w:after="0"/>
              <w:rPr>
                <w:sz w:val="24"/>
                <w:szCs w:val="24"/>
                <w:color w:val="auto"/>
              </w:rPr>
            </w:pPr>
          </w:p>
        </w:tc>
        <w:tc>
          <w:tcPr>
            <w:tcW w:w="4320" w:type="dxa"/>
            <w:vAlign w:val="bottom"/>
          </w:tcPr>
          <w:p>
            <w:pPr>
              <w:jc w:val="center"/>
              <w:ind w:right="1022"/>
              <w:spacing w:after="0"/>
              <w:rPr>
                <w:sz w:val="20"/>
                <w:szCs w:val="20"/>
                <w:color w:val="auto"/>
              </w:rPr>
            </w:pPr>
            <w:r>
              <w:rPr>
                <w:rFonts w:ascii="Arial" w:cs="Arial" w:eastAsia="Arial" w:hAnsi="Arial"/>
                <w:sz w:val="16"/>
                <w:szCs w:val="16"/>
                <w:b w:val="1"/>
                <w:bCs w:val="1"/>
                <w:color w:val="auto"/>
                <w:w w:val="91"/>
              </w:rPr>
              <w:t>26-1870780</w:t>
            </w:r>
          </w:p>
        </w:tc>
      </w:tr>
      <w:tr>
        <w:trPr>
          <w:trHeight w:val="172"/>
        </w:trPr>
        <w:tc>
          <w:tcPr>
            <w:tcW w:w="3700" w:type="dxa"/>
            <w:vAlign w:val="bottom"/>
          </w:tcPr>
          <w:p>
            <w:pPr>
              <w:jc w:val="center"/>
              <w:ind w:left="1622"/>
              <w:spacing w:after="0" w:line="171" w:lineRule="exact"/>
              <w:rPr>
                <w:sz w:val="20"/>
                <w:szCs w:val="20"/>
                <w:color w:val="auto"/>
              </w:rPr>
            </w:pPr>
            <w:r>
              <w:rPr>
                <w:rFonts w:ascii="Arial" w:cs="Arial" w:eastAsia="Arial" w:hAnsi="Arial"/>
                <w:sz w:val="16"/>
                <w:szCs w:val="16"/>
                <w:color w:val="auto"/>
                <w:w w:val="93"/>
              </w:rPr>
              <w:t>(State or other jurisdiction of</w:t>
            </w:r>
          </w:p>
        </w:tc>
        <w:tc>
          <w:tcPr>
            <w:tcW w:w="3200" w:type="dxa"/>
            <w:vAlign w:val="bottom"/>
          </w:tcPr>
          <w:p>
            <w:pPr>
              <w:spacing w:after="0"/>
              <w:rPr>
                <w:sz w:val="14"/>
                <w:szCs w:val="14"/>
                <w:color w:val="auto"/>
              </w:rPr>
            </w:pPr>
          </w:p>
        </w:tc>
        <w:tc>
          <w:tcPr>
            <w:tcW w:w="4320" w:type="dxa"/>
            <w:vAlign w:val="bottom"/>
          </w:tcPr>
          <w:p>
            <w:pPr>
              <w:jc w:val="center"/>
              <w:ind w:right="1022"/>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3700" w:type="dxa"/>
            <w:vAlign w:val="bottom"/>
          </w:tcPr>
          <w:p>
            <w:pPr>
              <w:jc w:val="center"/>
              <w:ind w:left="1622"/>
              <w:spacing w:after="0"/>
              <w:rPr>
                <w:sz w:val="20"/>
                <w:szCs w:val="20"/>
                <w:color w:val="auto"/>
              </w:rPr>
            </w:pPr>
            <w:r>
              <w:rPr>
                <w:rFonts w:ascii="Arial" w:cs="Arial" w:eastAsia="Arial" w:hAnsi="Arial"/>
                <w:sz w:val="16"/>
                <w:szCs w:val="16"/>
                <w:color w:val="auto"/>
                <w:w w:val="94"/>
              </w:rPr>
              <w:t>incorporation or organization)</w:t>
            </w:r>
          </w:p>
        </w:tc>
        <w:tc>
          <w:tcPr>
            <w:tcW w:w="3200" w:type="dxa"/>
            <w:vAlign w:val="bottom"/>
          </w:tcPr>
          <w:p>
            <w:pPr>
              <w:spacing w:after="0"/>
              <w:rPr>
                <w:sz w:val="17"/>
                <w:szCs w:val="17"/>
                <w:color w:val="auto"/>
              </w:rPr>
            </w:pPr>
          </w:p>
        </w:tc>
        <w:tc>
          <w:tcPr>
            <w:tcW w:w="4320" w:type="dxa"/>
            <w:vAlign w:val="bottom"/>
          </w:tcPr>
          <w:p>
            <w:pPr>
              <w:jc w:val="center"/>
              <w:ind w:right="1022"/>
              <w:spacing w:after="0"/>
              <w:rPr>
                <w:sz w:val="20"/>
                <w:szCs w:val="20"/>
                <w:color w:val="auto"/>
              </w:rPr>
            </w:pPr>
            <w:r>
              <w:rPr>
                <w:rFonts w:ascii="Arial" w:cs="Arial" w:eastAsia="Arial" w:hAnsi="Arial"/>
                <w:sz w:val="16"/>
                <w:szCs w:val="16"/>
                <w:color w:val="auto"/>
                <w:w w:val="97"/>
              </w:rPr>
              <w:t>Identification No.)</w:t>
            </w:r>
          </w:p>
        </w:tc>
      </w:tr>
      <w:tr>
        <w:trPr>
          <w:trHeight w:val="283"/>
        </w:trPr>
        <w:tc>
          <w:tcPr>
            <w:tcW w:w="3700" w:type="dxa"/>
            <w:vAlign w:val="bottom"/>
          </w:tcPr>
          <w:p>
            <w:pPr>
              <w:spacing w:after="0"/>
              <w:rPr>
                <w:sz w:val="24"/>
                <w:szCs w:val="24"/>
                <w:color w:val="auto"/>
              </w:rPr>
            </w:pPr>
          </w:p>
        </w:tc>
        <w:tc>
          <w:tcPr>
            <w:tcW w:w="3200" w:type="dxa"/>
            <w:vAlign w:val="bottom"/>
          </w:tcPr>
          <w:p>
            <w:pPr>
              <w:jc w:val="center"/>
              <w:ind w:left="573"/>
              <w:spacing w:after="0"/>
              <w:rPr>
                <w:sz w:val="20"/>
                <w:szCs w:val="20"/>
                <w:color w:val="auto"/>
              </w:rPr>
            </w:pPr>
            <w:r>
              <w:rPr>
                <w:rFonts w:ascii="Arial" w:cs="Arial" w:eastAsia="Arial" w:hAnsi="Arial"/>
                <w:sz w:val="16"/>
                <w:szCs w:val="16"/>
                <w:b w:val="1"/>
                <w:bCs w:val="1"/>
                <w:color w:val="auto"/>
                <w:w w:val="91"/>
              </w:rPr>
              <w:t>3891 Ranchero Drive, Suite 150</w:t>
            </w:r>
          </w:p>
        </w:tc>
        <w:tc>
          <w:tcPr>
            <w:tcW w:w="4320" w:type="dxa"/>
            <w:vAlign w:val="bottom"/>
          </w:tcPr>
          <w:p>
            <w:pPr>
              <w:spacing w:after="0"/>
              <w:rPr>
                <w:sz w:val="24"/>
                <w:szCs w:val="24"/>
                <w:color w:val="auto"/>
              </w:rPr>
            </w:pPr>
          </w:p>
        </w:tc>
      </w:tr>
      <w:tr>
        <w:trPr>
          <w:trHeight w:val="212"/>
        </w:trPr>
        <w:tc>
          <w:tcPr>
            <w:tcW w:w="3700" w:type="dxa"/>
            <w:vAlign w:val="bottom"/>
          </w:tcPr>
          <w:p>
            <w:pPr>
              <w:spacing w:after="0"/>
              <w:rPr>
                <w:sz w:val="18"/>
                <w:szCs w:val="18"/>
                <w:color w:val="auto"/>
              </w:rPr>
            </w:pPr>
          </w:p>
        </w:tc>
        <w:tc>
          <w:tcPr>
            <w:tcW w:w="3200" w:type="dxa"/>
            <w:vAlign w:val="bottom"/>
          </w:tcPr>
          <w:p>
            <w:pPr>
              <w:jc w:val="center"/>
              <w:ind w:left="573"/>
              <w:spacing w:after="0"/>
              <w:rPr>
                <w:sz w:val="20"/>
                <w:szCs w:val="20"/>
                <w:color w:val="auto"/>
              </w:rPr>
            </w:pPr>
            <w:r>
              <w:rPr>
                <w:rFonts w:ascii="Arial" w:cs="Arial" w:eastAsia="Arial" w:hAnsi="Arial"/>
                <w:sz w:val="16"/>
                <w:szCs w:val="16"/>
                <w:b w:val="1"/>
                <w:bCs w:val="1"/>
                <w:color w:val="auto"/>
                <w:w w:val="96"/>
              </w:rPr>
              <w:t>Ann Arbor, MI 48108</w:t>
            </w:r>
          </w:p>
        </w:tc>
        <w:tc>
          <w:tcPr>
            <w:tcW w:w="4320" w:type="dxa"/>
            <w:vAlign w:val="bottom"/>
          </w:tcPr>
          <w:p>
            <w:pPr>
              <w:spacing w:after="0"/>
              <w:rPr>
                <w:sz w:val="18"/>
                <w:szCs w:val="18"/>
                <w:color w:val="auto"/>
              </w:rPr>
            </w:pPr>
          </w:p>
        </w:tc>
      </w:tr>
      <w:tr>
        <w:trPr>
          <w:trHeight w:val="189"/>
        </w:trPr>
        <w:tc>
          <w:tcPr>
            <w:tcW w:w="3700" w:type="dxa"/>
            <w:vAlign w:val="bottom"/>
          </w:tcPr>
          <w:p>
            <w:pPr>
              <w:spacing w:after="0"/>
              <w:rPr>
                <w:sz w:val="16"/>
                <w:szCs w:val="16"/>
                <w:color w:val="auto"/>
              </w:rPr>
            </w:pPr>
          </w:p>
        </w:tc>
        <w:tc>
          <w:tcPr>
            <w:tcW w:w="7520" w:type="dxa"/>
            <w:vAlign w:val="bottom"/>
            <w:gridSpan w:val="2"/>
          </w:tcPr>
          <w:p>
            <w:pPr>
              <w:jc w:val="center"/>
              <w:ind w:right="3582"/>
              <w:spacing w:after="0"/>
              <w:rPr>
                <w:sz w:val="20"/>
                <w:szCs w:val="20"/>
                <w:color w:val="auto"/>
              </w:rPr>
            </w:pPr>
            <w:r>
              <w:rPr>
                <w:rFonts w:ascii="Arial" w:cs="Arial" w:eastAsia="Arial" w:hAnsi="Arial"/>
                <w:sz w:val="16"/>
                <w:szCs w:val="16"/>
                <w:color w:val="auto"/>
                <w:w w:val="94"/>
              </w:rPr>
              <w:t>(Address of principal executive office) (Zip Code)</w:t>
            </w:r>
          </w:p>
        </w:tc>
      </w:tr>
      <w:tr>
        <w:trPr>
          <w:trHeight w:val="206"/>
        </w:trPr>
        <w:tc>
          <w:tcPr>
            <w:tcW w:w="3700" w:type="dxa"/>
            <w:vAlign w:val="bottom"/>
          </w:tcPr>
          <w:p>
            <w:pPr>
              <w:spacing w:after="0"/>
              <w:rPr>
                <w:sz w:val="17"/>
                <w:szCs w:val="17"/>
                <w:color w:val="auto"/>
              </w:rPr>
            </w:pPr>
          </w:p>
        </w:tc>
        <w:tc>
          <w:tcPr>
            <w:tcW w:w="7520" w:type="dxa"/>
            <w:vAlign w:val="bottom"/>
            <w:gridSpan w:val="2"/>
          </w:tcPr>
          <w:p>
            <w:pPr>
              <w:jc w:val="center"/>
              <w:ind w:right="3602"/>
              <w:spacing w:after="0"/>
              <w:rPr>
                <w:sz w:val="20"/>
                <w:szCs w:val="20"/>
                <w:color w:val="auto"/>
              </w:rPr>
            </w:pPr>
            <w:r>
              <w:rPr>
                <w:rFonts w:ascii="Arial" w:cs="Arial" w:eastAsia="Arial" w:hAnsi="Arial"/>
                <w:sz w:val="16"/>
                <w:szCs w:val="16"/>
                <w:color w:val="auto"/>
                <w:w w:val="90"/>
              </w:rPr>
              <w:t>Registrant’s telephone number, including area code:</w:t>
            </w:r>
          </w:p>
        </w:tc>
      </w:tr>
      <w:tr>
        <w:trPr>
          <w:trHeight w:val="212"/>
        </w:trPr>
        <w:tc>
          <w:tcPr>
            <w:tcW w:w="3700" w:type="dxa"/>
            <w:vAlign w:val="bottom"/>
          </w:tcPr>
          <w:p>
            <w:pPr>
              <w:spacing w:after="0"/>
              <w:rPr>
                <w:sz w:val="18"/>
                <w:szCs w:val="18"/>
                <w:color w:val="auto"/>
              </w:rPr>
            </w:pPr>
          </w:p>
        </w:tc>
        <w:tc>
          <w:tcPr>
            <w:tcW w:w="3200" w:type="dxa"/>
            <w:vAlign w:val="bottom"/>
          </w:tcPr>
          <w:p>
            <w:pPr>
              <w:jc w:val="center"/>
              <w:ind w:left="573"/>
              <w:spacing w:after="0"/>
              <w:rPr>
                <w:sz w:val="20"/>
                <w:szCs w:val="20"/>
                <w:color w:val="auto"/>
              </w:rPr>
            </w:pPr>
            <w:r>
              <w:rPr>
                <w:rFonts w:ascii="Arial" w:cs="Arial" w:eastAsia="Arial" w:hAnsi="Arial"/>
                <w:sz w:val="16"/>
                <w:szCs w:val="16"/>
                <w:b w:val="1"/>
                <w:bCs w:val="1"/>
                <w:color w:val="auto"/>
                <w:w w:val="93"/>
              </w:rPr>
              <w:t>(734) 887-3903</w:t>
            </w:r>
          </w:p>
        </w:tc>
        <w:tc>
          <w:tcPr>
            <w:tcW w:w="4320" w:type="dxa"/>
            <w:vAlign w:val="bottom"/>
          </w:tcPr>
          <w:p>
            <w:pPr>
              <w:spacing w:after="0"/>
              <w:rPr>
                <w:sz w:val="18"/>
                <w:szCs w:val="18"/>
                <w:color w:val="auto"/>
              </w:rPr>
            </w:pPr>
          </w:p>
        </w:tc>
      </w:tr>
      <w:tr>
        <w:trPr>
          <w:trHeight w:val="206"/>
        </w:trPr>
        <w:tc>
          <w:tcPr>
            <w:tcW w:w="690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320" w:type="dxa"/>
            <w:vAlign w:val="bottom"/>
          </w:tcPr>
          <w:p>
            <w:pPr>
              <w:spacing w:after="0"/>
              <w:rPr>
                <w:sz w:val="17"/>
                <w:szCs w:val="17"/>
                <w:color w:val="auto"/>
              </w:rPr>
            </w:pPr>
          </w:p>
        </w:tc>
      </w:tr>
      <w:tr>
        <w:trPr>
          <w:trHeight w:val="305"/>
        </w:trPr>
        <w:tc>
          <w:tcPr>
            <w:tcW w:w="370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Title of each class</w:t>
            </w:r>
          </w:p>
        </w:tc>
        <w:tc>
          <w:tcPr>
            <w:tcW w:w="3200" w:type="dxa"/>
            <w:vAlign w:val="bottom"/>
          </w:tcPr>
          <w:p>
            <w:pPr>
              <w:jc w:val="center"/>
              <w:ind w:left="513"/>
              <w:spacing w:after="0"/>
              <w:rPr>
                <w:sz w:val="20"/>
                <w:szCs w:val="20"/>
                <w:color w:val="auto"/>
              </w:rPr>
            </w:pPr>
            <w:r>
              <w:rPr>
                <w:rFonts w:ascii="Arial" w:cs="Arial" w:eastAsia="Arial" w:hAnsi="Arial"/>
                <w:sz w:val="14"/>
                <w:szCs w:val="14"/>
                <w:b w:val="1"/>
                <w:bCs w:val="1"/>
                <w:color w:val="auto"/>
                <w:w w:val="94"/>
              </w:rPr>
              <w:t>Trading Symbol(s)</w:t>
            </w:r>
          </w:p>
        </w:tc>
        <w:tc>
          <w:tcPr>
            <w:tcW w:w="4320" w:type="dxa"/>
            <w:vAlign w:val="bottom"/>
          </w:tcPr>
          <w:p>
            <w:pPr>
              <w:jc w:val="center"/>
              <w:ind w:left="80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7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11"/>
        </w:trPr>
        <w:tc>
          <w:tcPr>
            <w:tcW w:w="3700" w:type="dxa"/>
            <w:vAlign w:val="bottom"/>
          </w:tcPr>
          <w:p>
            <w:pPr>
              <w:jc w:val="center"/>
              <w:ind w:right="202"/>
              <w:spacing w:after="0"/>
              <w:rPr>
                <w:sz w:val="20"/>
                <w:szCs w:val="20"/>
                <w:color w:val="auto"/>
              </w:rPr>
            </w:pPr>
            <w:r>
              <w:rPr>
                <w:rFonts w:ascii="Arial" w:cs="Arial" w:eastAsia="Arial" w:hAnsi="Arial"/>
                <w:sz w:val="14"/>
                <w:szCs w:val="14"/>
                <w:color w:val="auto"/>
                <w:w w:val="92"/>
              </w:rPr>
              <w:t>Common Stock, par value $0.001 per share</w:t>
            </w:r>
          </w:p>
        </w:tc>
        <w:tc>
          <w:tcPr>
            <w:tcW w:w="3200" w:type="dxa"/>
            <w:vAlign w:val="bottom"/>
          </w:tcPr>
          <w:p>
            <w:pPr>
              <w:jc w:val="center"/>
              <w:ind w:left="513"/>
              <w:spacing w:after="0"/>
              <w:rPr>
                <w:sz w:val="20"/>
                <w:szCs w:val="20"/>
                <w:color w:val="auto"/>
              </w:rPr>
            </w:pPr>
            <w:r>
              <w:rPr>
                <w:rFonts w:ascii="Arial" w:cs="Arial" w:eastAsia="Arial" w:hAnsi="Arial"/>
                <w:sz w:val="14"/>
                <w:szCs w:val="14"/>
                <w:color w:val="auto"/>
                <w:w w:val="94"/>
              </w:rPr>
              <w:t>ESPR</w:t>
            </w:r>
          </w:p>
        </w:tc>
        <w:tc>
          <w:tcPr>
            <w:tcW w:w="4320" w:type="dxa"/>
            <w:vAlign w:val="bottom"/>
          </w:tcPr>
          <w:p>
            <w:pPr>
              <w:jc w:val="center"/>
              <w:ind w:left="782"/>
              <w:spacing w:after="0"/>
              <w:rPr>
                <w:sz w:val="20"/>
                <w:szCs w:val="20"/>
                <w:color w:val="auto"/>
              </w:rPr>
            </w:pPr>
            <w:r>
              <w:rPr>
                <w:rFonts w:ascii="Arial" w:cs="Arial" w:eastAsia="Arial" w:hAnsi="Arial"/>
                <w:sz w:val="14"/>
                <w:szCs w:val="14"/>
                <w:color w:val="auto"/>
                <w:w w:val="99"/>
              </w:rPr>
              <w:t>NASDAQ Stock Market LLC</w:t>
            </w:r>
          </w:p>
        </w:tc>
      </w:tr>
    </w:tbl>
    <w:p>
      <w:pPr>
        <w:spacing w:after="0" w:line="97" w:lineRule="exact"/>
        <w:rPr>
          <w:sz w:val="24"/>
          <w:szCs w:val="24"/>
          <w:color w:val="auto"/>
        </w:rPr>
      </w:pPr>
    </w:p>
    <w:p>
      <w:pPr>
        <w:jc w:val="both"/>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rPr>
          <w:sz w:val="20"/>
          <w:szCs w:val="20"/>
          <w:color w:val="auto"/>
        </w:rPr>
      </w:pPr>
      <w:r>
        <w:rPr>
          <w:rFonts w:ascii="Arial" w:cs="Arial" w:eastAsia="Arial" w:hAnsi="Arial"/>
          <w:sz w:val="16"/>
          <w:szCs w:val="16"/>
          <w:color w:val="auto"/>
        </w:rPr>
        <w:t>90 days. Yes x No o</w:t>
      </w:r>
    </w:p>
    <w:p>
      <w:pPr>
        <w:spacing w:after="0" w:line="15" w:lineRule="exact"/>
        <w:rPr>
          <w:sz w:val="24"/>
          <w:szCs w:val="24"/>
          <w:color w:val="auto"/>
        </w:rPr>
      </w:pPr>
    </w:p>
    <w:p>
      <w:pPr>
        <w:ind w:right="22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 w:lineRule="exact"/>
        <w:rPr>
          <w:sz w:val="24"/>
          <w:szCs w:val="24"/>
          <w:color w:val="auto"/>
        </w:rPr>
      </w:pPr>
    </w:p>
    <w:p>
      <w:pPr>
        <w:ind w:right="14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94" w:right="359" w:bottom="1440" w:gutter="0" w:footer="0" w:header="0"/>
        </w:sectPr>
      </w:pPr>
    </w:p>
    <w:p>
      <w:pPr>
        <w:spacing w:after="0" w:line="103" w:lineRule="exact"/>
        <w:rPr>
          <w:sz w:val="24"/>
          <w:szCs w:val="24"/>
          <w:color w:val="auto"/>
        </w:rPr>
      </w:pPr>
    </w:p>
    <w:p>
      <w:pPr>
        <w:ind w:left="170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09" w:lineRule="exact"/>
        <w:rPr>
          <w:sz w:val="24"/>
          <w:szCs w:val="24"/>
          <w:color w:val="auto"/>
        </w:rPr>
      </w:pPr>
    </w:p>
    <w:p>
      <w:pPr>
        <w:sectPr>
          <w:pgSz w:w="11900" w:h="16838" w:orient="portrait"/>
          <w:cols w:equalWidth="0" w:num="2">
            <w:col w:w="6820" w:space="720"/>
            <w:col w:w="3680"/>
          </w:cols>
          <w:pgMar w:left="320" w:top="994" w:right="35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Non-accelerated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3">
            <w:col w:w="6080" w:space="720"/>
            <w:col w:w="1780" w:space="80"/>
            <w:col w:w="2560"/>
          </w:cols>
          <w:pgMar w:left="320" w:top="994" w:right="359" w:bottom="1440" w:gutter="0" w:footer="0" w:header="0"/>
          <w:type w:val="continuous"/>
        </w:sectPr>
      </w:pPr>
    </w:p>
    <w:p>
      <w:pPr>
        <w:ind w:left="68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20"/>
          </w:cols>
          <w:pgMar w:left="320" w:top="994" w:right="359" w:bottom="1440" w:gutter="0" w:footer="0" w:header="0"/>
          <w:type w:val="continuous"/>
        </w:sectPr>
      </w:pPr>
    </w:p>
    <w:p>
      <w:pPr>
        <w:spacing w:after="0" w:line="123" w:lineRule="exact"/>
        <w:rPr>
          <w:sz w:val="24"/>
          <w:szCs w:val="24"/>
          <w:color w:val="auto"/>
        </w:rPr>
      </w:pPr>
    </w:p>
    <w:p>
      <w:pPr>
        <w:ind w:right="56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jc w:val="both"/>
        <w:ind w:right="2960"/>
        <w:spacing w:after="0" w:line="20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As of July 28, 2023, there were 106,994,269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390525</wp:posOffset>
            </wp:positionV>
            <wp:extent cx="7098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415925</wp:posOffset>
            </wp:positionV>
            <wp:extent cx="7098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Page</w:t>
            </w:r>
          </w:p>
        </w:tc>
      </w:tr>
      <w:tr>
        <w:trPr>
          <w:trHeight w:val="45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9"/>
          </w:tcPr>
          <w:p>
            <w:pPr>
              <w:spacing w:after="0"/>
              <w:rPr>
                <w:sz w:val="20"/>
                <w:szCs w:val="20"/>
                <w:color w:val="auto"/>
              </w:rPr>
            </w:pPr>
            <w:r>
              <w:rPr>
                <w:rFonts w:ascii="Arial" w:cs="Arial" w:eastAsia="Arial" w:hAnsi="Arial"/>
                <w:sz w:val="18"/>
                <w:szCs w:val="18"/>
                <w:b w:val="1"/>
                <w:bCs w:val="1"/>
                <w:color w:val="0000FF"/>
              </w:rPr>
              <w:t>PART I — FINANCIAL INFORMATION</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20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Item 1. Financial Statements</w:t>
            </w:r>
          </w:p>
        </w:tc>
        <w:tc>
          <w:tcPr>
            <w:tcW w:w="1900" w:type="dxa"/>
            <w:vAlign w:val="bottom"/>
            <w:gridSpan w:val="4"/>
          </w:tcPr>
          <w:p>
            <w:pPr>
              <w:spacing w:after="0"/>
              <w:rPr>
                <w:sz w:val="24"/>
                <w:szCs w:val="24"/>
                <w:color w:val="auto"/>
              </w:rPr>
            </w:pPr>
          </w:p>
        </w:tc>
        <w:tc>
          <w:tcPr>
            <w:tcW w:w="3240" w:type="dxa"/>
            <w:vAlign w:val="bottom"/>
            <w:tcBorders>
              <w:top w:val="single" w:sz="8" w:color="0000FF"/>
            </w:tcBorders>
            <w:gridSpan w:val="5"/>
          </w:tcPr>
          <w:p>
            <w:pPr>
              <w:spacing w:after="0"/>
              <w:rPr>
                <w:sz w:val="24"/>
                <w:szCs w:val="24"/>
                <w:color w:val="auto"/>
              </w:rPr>
            </w:pPr>
          </w:p>
        </w:tc>
        <w:tc>
          <w:tcPr>
            <w:tcW w:w="288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18"/>
          </w:tcPr>
          <w:p>
            <w:pPr>
              <w:spacing w:after="0"/>
              <w:rPr>
                <w:sz w:val="20"/>
                <w:szCs w:val="20"/>
                <w:color w:val="auto"/>
              </w:rPr>
            </w:pPr>
            <w:r>
              <w:rPr>
                <w:rFonts w:ascii="Arial" w:cs="Arial" w:eastAsia="Arial" w:hAnsi="Arial"/>
                <w:sz w:val="18"/>
                <w:szCs w:val="18"/>
                <w:color w:val="0000FF"/>
              </w:rPr>
              <w:t>Condensed Balance Sheets at June 30, 2023 and December 31, 2022</w:t>
            </w: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40" w:type="dxa"/>
            <w:vAlign w:val="bottom"/>
            <w:gridSpan w:val="18"/>
          </w:tcPr>
          <w:p>
            <w:pPr>
              <w:spacing w:after="0"/>
              <w:rPr>
                <w:sz w:val="20"/>
                <w:szCs w:val="20"/>
                <w:color w:val="auto"/>
              </w:rPr>
            </w:pPr>
            <w:r>
              <w:rPr>
                <w:rFonts w:ascii="Arial" w:cs="Arial" w:eastAsia="Arial" w:hAnsi="Arial"/>
                <w:sz w:val="18"/>
                <w:szCs w:val="18"/>
                <w:color w:val="0000FF"/>
                <w:w w:val="89"/>
              </w:rPr>
              <w:t>Condensed Statements of Operations and Comprehensive Loss for the three and six month periods ended June 30, 2023 and 2022</w:t>
            </w: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32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Condensed Statements of Stockholders’ Deficit for the three and six month periods ended June 30, 2023 and 2022</w:t>
            </w: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Condensed Statements of Cash Flows for the six month periods ended June 30, 2023 and 2022</w:t>
            </w:r>
          </w:p>
        </w:tc>
        <w:tc>
          <w:tcPr>
            <w:tcW w:w="1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Notes to Condensed Financial Statements</w:t>
            </w:r>
          </w:p>
        </w:tc>
        <w:tc>
          <w:tcPr>
            <w:tcW w:w="2640" w:type="dxa"/>
            <w:vAlign w:val="bottom"/>
            <w:gridSpan w:val="3"/>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0"/>
        </w:trPr>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79"/>
        </w:trPr>
        <w:tc>
          <w:tcPr>
            <w:tcW w:w="7000" w:type="dxa"/>
            <w:vAlign w:val="bottom"/>
            <w:gridSpan w:val="15"/>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080" w:type="dxa"/>
            <w:vAlign w:val="bottom"/>
            <w:gridSpan w:val="5"/>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26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79"/>
        </w:trPr>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380" w:type="dxa"/>
            <w:vAlign w:val="bottom"/>
            <w:gridSpan w:val="11"/>
          </w:tcPr>
          <w:p>
            <w:pPr>
              <w:ind w:left="20"/>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100" w:type="dxa"/>
            <w:vAlign w:val="bottom"/>
            <w:gridSpan w:val="3"/>
          </w:tcPr>
          <w:p>
            <w:pPr>
              <w:spacing w:after="0"/>
              <w:rPr>
                <w:sz w:val="24"/>
                <w:szCs w:val="24"/>
                <w:color w:val="auto"/>
              </w:rPr>
            </w:pPr>
          </w:p>
        </w:tc>
        <w:tc>
          <w:tcPr>
            <w:tcW w:w="3080" w:type="dxa"/>
            <w:vAlign w:val="bottom"/>
            <w:gridSpan w:val="5"/>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37</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380" w:type="dxa"/>
            <w:vAlign w:val="bottom"/>
            <w:gridSpan w:val="11"/>
          </w:tcPr>
          <w:p>
            <w:pPr>
              <w:ind w:left="20"/>
              <w:spacing w:after="0"/>
              <w:rPr>
                <w:sz w:val="20"/>
                <w:szCs w:val="20"/>
                <w:color w:val="auto"/>
              </w:rPr>
            </w:pPr>
            <w:r>
              <w:rPr>
                <w:rFonts w:ascii="Arial" w:cs="Arial" w:eastAsia="Arial" w:hAnsi="Arial"/>
                <w:sz w:val="18"/>
                <w:szCs w:val="18"/>
                <w:color w:val="0000FF"/>
              </w:rPr>
              <w:t>Controls and Procedures</w:t>
            </w:r>
          </w:p>
        </w:tc>
        <w:tc>
          <w:tcPr>
            <w:tcW w:w="5180" w:type="dxa"/>
            <w:vAlign w:val="bottom"/>
            <w:gridSpan w:val="8"/>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37</w:t>
            </w:r>
          </w:p>
        </w:tc>
      </w:tr>
      <w:tr>
        <w:trPr>
          <w:trHeight w:val="479"/>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760" w:type="dxa"/>
            <w:vAlign w:val="bottom"/>
            <w:gridSpan w:val="12"/>
          </w:tcPr>
          <w:p>
            <w:pPr>
              <w:ind w:left="1240"/>
              <w:spacing w:after="0"/>
              <w:rPr>
                <w:sz w:val="20"/>
                <w:szCs w:val="20"/>
                <w:color w:val="auto"/>
              </w:rPr>
            </w:pPr>
            <w:r>
              <w:rPr>
                <w:rFonts w:ascii="Arial" w:cs="Arial" w:eastAsia="Arial" w:hAnsi="Arial"/>
                <w:sz w:val="18"/>
                <w:szCs w:val="18"/>
                <w:b w:val="1"/>
                <w:bCs w:val="1"/>
                <w:color w:val="0000FF"/>
              </w:rPr>
              <w:t>PART II — OTHER INFORMATION</w:t>
            </w: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479"/>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3040" w:type="dxa"/>
            <w:vAlign w:val="bottom"/>
            <w:gridSpan w:val="8"/>
          </w:tcPr>
          <w:p>
            <w:pPr>
              <w:ind w:left="20"/>
              <w:spacing w:after="0"/>
              <w:rPr>
                <w:sz w:val="20"/>
                <w:szCs w:val="20"/>
                <w:color w:val="auto"/>
              </w:rPr>
            </w:pPr>
            <w:r>
              <w:rPr>
                <w:rFonts w:ascii="Arial" w:cs="Arial" w:eastAsia="Arial" w:hAnsi="Arial"/>
                <w:sz w:val="18"/>
                <w:szCs w:val="18"/>
                <w:color w:val="0000FF"/>
              </w:rPr>
              <w:t>Legal Proceedings</w:t>
            </w:r>
          </w:p>
        </w:tc>
        <w:tc>
          <w:tcPr>
            <w:tcW w:w="2940" w:type="dxa"/>
            <w:vAlign w:val="bottom"/>
            <w:tcBorders>
              <w:top w:val="single" w:sz="8" w:color="0000FF"/>
            </w:tcBorders>
            <w:gridSpan w:val="5"/>
          </w:tcPr>
          <w:p>
            <w:pPr>
              <w:spacing w:after="0"/>
              <w:rPr>
                <w:sz w:val="24"/>
                <w:szCs w:val="24"/>
                <w:color w:val="auto"/>
              </w:rPr>
            </w:pPr>
          </w:p>
        </w:tc>
        <w:tc>
          <w:tcPr>
            <w:tcW w:w="3580" w:type="dxa"/>
            <w:vAlign w:val="bottom"/>
            <w:gridSpan w:val="6"/>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38</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93"/>
        </w:trPr>
        <w:tc>
          <w:tcPr>
            <w:tcW w:w="1880" w:type="dxa"/>
            <w:vAlign w:val="bottom"/>
            <w:gridSpan w:val="6"/>
          </w:tcPr>
          <w:p>
            <w:pPr>
              <w:spacing w:after="0"/>
              <w:rPr>
                <w:sz w:val="20"/>
                <w:szCs w:val="20"/>
                <w:color w:val="auto"/>
              </w:rPr>
            </w:pPr>
            <w:r>
              <w:rPr>
                <w:rFonts w:ascii="Arial" w:cs="Arial" w:eastAsia="Arial" w:hAnsi="Arial"/>
                <w:sz w:val="18"/>
                <w:szCs w:val="18"/>
                <w:color w:val="0000FF"/>
              </w:rPr>
              <w:t>Item 1A. Risk Factors</w:t>
            </w:r>
          </w:p>
        </w:tc>
        <w:tc>
          <w:tcPr>
            <w:tcW w:w="8200" w:type="dxa"/>
            <w:vAlign w:val="bottom"/>
            <w:gridSpan w:val="14"/>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38</w:t>
            </w:r>
          </w:p>
        </w:tc>
      </w:tr>
      <w:tr>
        <w:trPr>
          <w:trHeight w:val="20"/>
        </w:trPr>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1060" w:type="dxa"/>
            <w:vAlign w:val="bottom"/>
            <w:gridSpan w:val="4"/>
          </w:tcPr>
          <w:p>
            <w:pPr>
              <w:ind w:left="20"/>
              <w:spacing w:after="0"/>
              <w:rPr>
                <w:sz w:val="20"/>
                <w:szCs w:val="20"/>
                <w:color w:val="auto"/>
              </w:rPr>
            </w:pPr>
            <w:r>
              <w:rPr>
                <w:rFonts w:ascii="Arial" w:cs="Arial" w:eastAsia="Arial" w:hAnsi="Arial"/>
                <w:sz w:val="18"/>
                <w:szCs w:val="18"/>
                <w:color w:val="0000FF"/>
              </w:rPr>
              <w:t>Exhibits</w:t>
            </w:r>
          </w:p>
        </w:tc>
        <w:tc>
          <w:tcPr>
            <w:tcW w:w="8500" w:type="dxa"/>
            <w:vAlign w:val="bottom"/>
            <w:gridSpan w:val="15"/>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41</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94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79"/>
        </w:trPr>
        <w:tc>
          <w:tcPr>
            <w:tcW w:w="820" w:type="dxa"/>
            <w:vAlign w:val="bottom"/>
            <w:gridSpan w:val="3"/>
          </w:tcPr>
          <w:p>
            <w:pPr>
              <w:spacing w:after="0"/>
              <w:rPr>
                <w:sz w:val="20"/>
                <w:szCs w:val="20"/>
                <w:color w:val="auto"/>
              </w:rPr>
            </w:pPr>
            <w:r>
              <w:rPr>
                <w:rFonts w:ascii="Arial" w:cs="Arial" w:eastAsia="Arial" w:hAnsi="Arial"/>
                <w:sz w:val="18"/>
                <w:szCs w:val="18"/>
                <w:b w:val="1"/>
                <w:bCs w:val="1"/>
                <w:color w:val="0000FF"/>
                <w:w w:val="85"/>
              </w:rPr>
              <w:t>Signatures</w:t>
            </w:r>
          </w:p>
        </w:tc>
        <w:tc>
          <w:tcPr>
            <w:tcW w:w="320" w:type="dxa"/>
            <w:vAlign w:val="bottom"/>
          </w:tcPr>
          <w:p>
            <w:pPr>
              <w:spacing w:after="0"/>
              <w:rPr>
                <w:sz w:val="24"/>
                <w:szCs w:val="24"/>
                <w:color w:val="auto"/>
              </w:rPr>
            </w:pPr>
          </w:p>
        </w:tc>
        <w:tc>
          <w:tcPr>
            <w:tcW w:w="8940" w:type="dxa"/>
            <w:vAlign w:val="bottom"/>
            <w:gridSpan w:val="16"/>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0000FF"/>
              </w:rPr>
              <w:t>43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194"/>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6"/>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124,775</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42,086</w:t>
            </w: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33,729</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Prepaid clinical development costs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35,201</w:t>
            </w:r>
          </w:p>
        </w:tc>
      </w:tr>
      <w:tr>
        <w:trPr>
          <w:trHeight w:val="243"/>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prepaid and current assets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246,683</w:t>
            </w: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Right of use operating lease assets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7"/>
        </w:trPr>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234,626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247,939</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-5205095</wp:posOffset>
            </wp:positionH>
            <wp:positionV relativeFrom="paragraph">
              <wp:posOffset>-633730</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-342265</wp:posOffset>
            </wp:positionV>
            <wp:extent cx="711517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500" w:space="720"/>
            <w:col w:w="300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156"/>
        </w:trPr>
        <w:tc>
          <w:tcPr>
            <w:tcW w:w="8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24,558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23,040</w:t>
            </w: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clinical development costs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Accrued variable consideration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21,987</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Revenue interest liability</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24,760</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from collaborations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92,308</w:t>
            </w:r>
          </w:p>
        </w:tc>
        <w:tc>
          <w:tcPr>
            <w:tcW w:w="0" w:type="dxa"/>
            <w:vAlign w:val="bottom"/>
          </w:tcPr>
          <w:p>
            <w:pPr>
              <w:spacing w:after="0"/>
              <w:rPr>
                <w:sz w:val="1"/>
                <w:szCs w:val="1"/>
                <w:color w:val="auto"/>
              </w:rPr>
            </w:pPr>
          </w:p>
        </w:tc>
      </w:tr>
      <w:tr>
        <w:trPr>
          <w:trHeight w:val="183"/>
        </w:trPr>
        <w:tc>
          <w:tcPr>
            <w:tcW w:w="8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notes, net of issuance costs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259,899</w:t>
            </w:r>
          </w:p>
        </w:tc>
        <w:tc>
          <w:tcPr>
            <w:tcW w:w="0" w:type="dxa"/>
            <w:vAlign w:val="bottom"/>
          </w:tcPr>
          <w:p>
            <w:pPr>
              <w:spacing w:after="0"/>
              <w:rPr>
                <w:sz w:val="1"/>
                <w:szCs w:val="1"/>
                <w:color w:val="auto"/>
              </w:rPr>
            </w:pPr>
          </w:p>
        </w:tc>
      </w:tr>
      <w:tr>
        <w:trPr>
          <w:trHeight w:val="237"/>
        </w:trPr>
        <w:tc>
          <w:tcPr>
            <w:tcW w:w="8200" w:type="dxa"/>
            <w:vAlign w:val="bottom"/>
          </w:tcPr>
          <w:p>
            <w:pPr>
              <w:ind w:left="140"/>
              <w:spacing w:after="0"/>
              <w:rPr>
                <w:sz w:val="20"/>
                <w:szCs w:val="20"/>
                <w:color w:val="auto"/>
              </w:rPr>
            </w:pPr>
            <w:r>
              <w:rPr>
                <w:rFonts w:ascii="Arial" w:cs="Arial" w:eastAsia="Arial" w:hAnsi="Arial"/>
                <w:sz w:val="18"/>
                <w:szCs w:val="18"/>
                <w:color w:val="auto"/>
              </w:rPr>
              <w:t>Revenue interest liability</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218,845</w:t>
            </w:r>
          </w:p>
        </w:tc>
        <w:tc>
          <w:tcPr>
            <w:tcW w:w="0" w:type="dxa"/>
            <w:vAlign w:val="bottom"/>
          </w:tcPr>
          <w:p>
            <w:pPr>
              <w:spacing w:after="0"/>
              <w:rPr>
                <w:sz w:val="1"/>
                <w:szCs w:val="1"/>
                <w:color w:val="auto"/>
              </w:rPr>
            </w:pPr>
          </w:p>
        </w:tc>
      </w:tr>
      <w:tr>
        <w:trPr>
          <w:trHeight w:val="222"/>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606,604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571,717</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Preferred stock, $0.001 par value; 5,000,000 shares authorized and no shares issued or outstanding as of</w:t>
            </w: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2023 and December 31, 2022</w:t>
            </w:r>
          </w:p>
        </w:tc>
        <w:tc>
          <w:tcPr>
            <w:tcW w:w="3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0" w:type="dxa"/>
            <w:vAlign w:val="bottom"/>
          </w:tcPr>
          <w:p>
            <w:pPr>
              <w:ind w:left="120"/>
              <w:spacing w:after="0" w:line="176" w:lineRule="exact"/>
              <w:rPr>
                <w:sz w:val="20"/>
                <w:szCs w:val="20"/>
                <w:color w:val="auto"/>
              </w:rPr>
            </w:pPr>
            <w:r>
              <w:rPr>
                <w:rFonts w:ascii="Arial" w:cs="Arial" w:eastAsia="Arial" w:hAnsi="Arial"/>
                <w:sz w:val="18"/>
                <w:szCs w:val="18"/>
                <w:color w:val="auto"/>
                <w:w w:val="91"/>
              </w:rPr>
              <w:t>Common stock, $0.001 par value; 480,000,000 shares authorized as of June 30, 2023 and 240,000,000 shares</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0" w:type="dxa"/>
            <w:vAlign w:val="bottom"/>
          </w:tcPr>
          <w:p>
            <w:pPr>
              <w:ind w:left="120"/>
              <w:spacing w:after="0" w:line="176" w:lineRule="exact"/>
              <w:rPr>
                <w:sz w:val="20"/>
                <w:szCs w:val="20"/>
                <w:color w:val="auto"/>
              </w:rPr>
            </w:pPr>
            <w:r>
              <w:rPr>
                <w:rFonts w:ascii="Arial" w:cs="Arial" w:eastAsia="Arial" w:hAnsi="Arial"/>
                <w:sz w:val="18"/>
                <w:szCs w:val="18"/>
                <w:color w:val="auto"/>
                <w:w w:val="89"/>
              </w:rPr>
              <w:t>authorized as of December 31, 2022; 102,864,725 shares issued at June 30, 2023 and 76,564,396 shares issued</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8200" w:type="dxa"/>
            <w:vAlign w:val="bottom"/>
          </w:tcPr>
          <w:p>
            <w:pPr>
              <w:ind w:left="120"/>
              <w:spacing w:after="0"/>
              <w:rPr>
                <w:sz w:val="20"/>
                <w:szCs w:val="20"/>
                <w:color w:val="auto"/>
              </w:rPr>
            </w:pPr>
            <w:r>
              <w:rPr>
                <w:rFonts w:ascii="Arial" w:cs="Arial" w:eastAsia="Arial" w:hAnsi="Arial"/>
                <w:sz w:val="18"/>
                <w:szCs w:val="18"/>
                <w:color w:val="auto"/>
              </w:rPr>
              <w:t>at December 31, 2022</w:t>
            </w:r>
          </w:p>
        </w:tc>
        <w:tc>
          <w:tcPr>
            <w:tcW w:w="3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1,071,183</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Treasury stock, at cost; 1,994,198 shares at June 30, 2023 and December 31, 2022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(54,998)</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(1,451,690)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(1,340,036)</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(371,978)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(323,778)</w:t>
            </w:r>
          </w:p>
        </w:tc>
        <w:tc>
          <w:tcPr>
            <w:tcW w:w="0" w:type="dxa"/>
            <w:vAlign w:val="bottom"/>
          </w:tcPr>
          <w:p>
            <w:pPr>
              <w:spacing w:after="0"/>
              <w:rPr>
                <w:sz w:val="1"/>
                <w:szCs w:val="1"/>
                <w:color w:val="auto"/>
              </w:rPr>
            </w:pPr>
          </w:p>
        </w:tc>
      </w:tr>
      <w:tr>
        <w:trPr>
          <w:trHeight w:val="236"/>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and stockholders’ deficit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234,626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247,939</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20,293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13,578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37,324</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Pr>
          <w:p>
            <w:pPr>
              <w:spacing w:after="0"/>
              <w:rPr>
                <w:sz w:val="19"/>
                <w:szCs w:val="19"/>
                <w:color w:val="auto"/>
              </w:rPr>
            </w:pPr>
          </w:p>
        </w:tc>
      </w:tr>
      <w:tr>
        <w:trPr>
          <w:trHeight w:val="229"/>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50,115</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37,677</w:t>
            </w:r>
          </w:p>
        </w:tc>
        <w:tc>
          <w:tcPr>
            <w:tcW w:w="100" w:type="dxa"/>
            <w:vAlign w:val="bottom"/>
            <w:tcBorders>
              <w:bottom w:val="single" w:sz="8" w:color="CCEEFF"/>
            </w:tcBorders>
          </w:tcPr>
          <w:p>
            <w:pPr>
              <w:spacing w:after="0"/>
              <w:rPr>
                <w:sz w:val="20"/>
                <w:szCs w:val="20"/>
                <w:color w:val="auto"/>
              </w:rPr>
            </w:pPr>
          </w:p>
        </w:tc>
      </w:tr>
      <w:tr>
        <w:trPr>
          <w:trHeight w:val="250"/>
        </w:trPr>
        <w:tc>
          <w:tcPr>
            <w:tcW w:w="5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shd w:val="clear" w:color="auto" w:fill="CCEEFF"/>
          </w:tcPr>
          <w:p>
            <w:pPr>
              <w:spacing w:after="0"/>
              <w:rPr>
                <w:sz w:val="20"/>
                <w:szCs w:val="20"/>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56,751</w:t>
            </w:r>
          </w:p>
        </w:tc>
        <w:tc>
          <w:tcPr>
            <w:tcW w:w="100" w:type="dxa"/>
            <w:vAlign w:val="bottom"/>
          </w:tcPr>
          <w:p>
            <w:pPr>
              <w:spacing w:after="0"/>
              <w:rPr>
                <w:sz w:val="19"/>
                <w:szCs w:val="19"/>
                <w:color w:val="auto"/>
              </w:rPr>
            </w:pPr>
          </w:p>
        </w:tc>
      </w:tr>
      <w:tr>
        <w:trPr>
          <w:trHeight w:val="24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59,990</w:t>
            </w:r>
          </w:p>
        </w:tc>
        <w:tc>
          <w:tcPr>
            <w:tcW w:w="100" w:type="dxa"/>
            <w:vAlign w:val="bottom"/>
            <w:shd w:val="clear" w:color="auto" w:fill="CCEEFF"/>
          </w:tcPr>
          <w:p>
            <w:pPr>
              <w:spacing w:after="0"/>
              <w:rPr>
                <w:sz w:val="21"/>
                <w:szCs w:val="2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133,042</w:t>
            </w:r>
          </w:p>
        </w:tc>
        <w:tc>
          <w:tcPr>
            <w:tcW w:w="100" w:type="dxa"/>
            <w:vAlign w:val="bottom"/>
            <w:tcBorders>
              <w:bottom w:val="single" w:sz="8" w:color="CCEEFF"/>
            </w:tcBorders>
          </w:tcPr>
          <w:p>
            <w:pPr>
              <w:spacing w:after="0"/>
              <w:rPr>
                <w:sz w:val="19"/>
                <w:szCs w:val="19"/>
                <w:color w:val="auto"/>
              </w:rPr>
            </w:pPr>
          </w:p>
        </w:tc>
      </w:tr>
      <w:tr>
        <w:trPr>
          <w:trHeight w:val="250"/>
        </w:trPr>
        <w:tc>
          <w:tcPr>
            <w:tcW w:w="5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(85,663)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(95,365)</w:t>
            </w:r>
          </w:p>
        </w:tc>
        <w:tc>
          <w:tcPr>
            <w:tcW w:w="100" w:type="dxa"/>
            <w:vAlign w:val="bottom"/>
          </w:tcPr>
          <w:p>
            <w:pPr>
              <w:spacing w:after="0"/>
              <w:rPr>
                <w:sz w:val="20"/>
                <w:szCs w:val="20"/>
                <w:color w:val="auto"/>
              </w:rPr>
            </w:pPr>
          </w:p>
        </w:tc>
      </w:tr>
      <w:tr>
        <w:trPr>
          <w:trHeight w:val="274"/>
        </w:trPr>
        <w:tc>
          <w:tcPr>
            <w:tcW w:w="5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(28,328)</w:t>
            </w:r>
          </w:p>
        </w:tc>
        <w:tc>
          <w:tcPr>
            <w:tcW w:w="100" w:type="dxa"/>
            <w:vAlign w:val="bottom"/>
          </w:tcPr>
          <w:p>
            <w:pPr>
              <w:spacing w:after="0"/>
              <w:rPr>
                <w:sz w:val="19"/>
                <w:szCs w:val="19"/>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(49,935)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(66,324)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(111,654)</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(123,055)</w:t>
            </w:r>
          </w:p>
        </w:tc>
        <w:tc>
          <w:tcPr>
            <w:tcW w:w="100" w:type="dxa"/>
            <w:vAlign w:val="bottom"/>
          </w:tcPr>
          <w:p>
            <w:pPr>
              <w:spacing w:after="0"/>
              <w:rPr>
                <w:sz w:val="20"/>
                <w:szCs w:val="20"/>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8"/>
        </w:trPr>
        <w:tc>
          <w:tcPr>
            <w:tcW w:w="5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gridSpan w:val="2"/>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3"/>
        </w:trPr>
        <w:tc>
          <w:tcPr>
            <w:tcW w:w="510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outstanding - basic and diluted</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109,243,845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63,227,406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93,927,148</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62,097,358</w:t>
            </w:r>
          </w:p>
        </w:tc>
        <w:tc>
          <w:tcPr>
            <w:tcW w:w="100" w:type="dxa"/>
            <w:vAlign w:val="bottom"/>
          </w:tcPr>
          <w:p>
            <w:pPr>
              <w:spacing w:after="0"/>
              <w:rPr>
                <w:sz w:val="17"/>
                <w:szCs w:val="17"/>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(66,358)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(111,652)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(123,321)</w:t>
            </w:r>
          </w:p>
        </w:tc>
        <w:tc>
          <w:tcPr>
            <w:tcW w:w="100" w:type="dxa"/>
            <w:vAlign w:val="bottom"/>
          </w:tcPr>
          <w:p>
            <w:pPr>
              <w:spacing w:after="0"/>
              <w:rPr>
                <w:sz w:val="19"/>
                <w:szCs w:val="19"/>
                <w:color w:val="auto"/>
              </w:rPr>
            </w:pPr>
          </w:p>
        </w:tc>
      </w:tr>
      <w:tr>
        <w:trPr>
          <w:trHeight w:val="21"/>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Statements of Stockholders’ Deficit</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200" w:type="dxa"/>
            <w:vAlign w:val="bottom"/>
            <w:gridSpan w:val="4"/>
            <w:vMerge w:val="restart"/>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0"/>
                <w:szCs w:val="10"/>
                <w:color w:val="auto"/>
              </w:rPr>
            </w:pPr>
          </w:p>
        </w:tc>
        <w:tc>
          <w:tcPr>
            <w:tcW w:w="22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ind w:right="71"/>
              <w:spacing w:after="0" w:line="12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72"/>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ind w:left="40"/>
              <w:spacing w:after="0" w:line="125"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73"/>
              <w:spacing w:after="0" w:line="12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60,879,496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(54,998)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(196,944)</w:t>
            </w: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55,286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ESPP Shares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(56,731)</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61,058,567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(1,163,108)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2"/>
              </w:rPr>
              <w:t>(54,998)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8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from</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3,353,000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20,169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Arial" w:cs="Arial" w:eastAsia="Arial" w:hAnsi="Arial"/>
                <w:sz w:val="18"/>
                <w:szCs w:val="18"/>
                <w:color w:val="auto"/>
                <w:w w:val="90"/>
              </w:rPr>
              <w:t>ATM program, net of issuance costs</w:t>
            </w: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(66,324)</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64,595,974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(1,229,432)</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(54,998)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(291,698)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780" w:type="dxa"/>
            <w:vAlign w:val="bottom"/>
          </w:tcPr>
          <w:p>
            <w:pPr>
              <w:spacing w:after="0"/>
              <w:rPr>
                <w:sz w:val="24"/>
                <w:szCs w:val="24"/>
                <w:color w:val="auto"/>
              </w:rPr>
            </w:pPr>
          </w:p>
        </w:tc>
        <w:tc>
          <w:tcPr>
            <w:tcW w:w="220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22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vMerge w:val="restart"/>
          </w:tcPr>
          <w:p>
            <w:pPr>
              <w:spacing w:after="0" w:line="129" w:lineRule="exact"/>
              <w:rPr>
                <w:sz w:val="20"/>
                <w:szCs w:val="20"/>
                <w:color w:val="auto"/>
              </w:rPr>
            </w:pPr>
            <w:r>
              <w:rPr>
                <w:rFonts w:ascii="Arial" w:cs="Arial" w:eastAsia="Arial" w:hAnsi="Arial"/>
                <w:sz w:val="14"/>
                <w:szCs w:val="14"/>
                <w:b w:val="1"/>
                <w:bCs w:val="1"/>
                <w:color w:val="auto"/>
                <w:w w:val="97"/>
              </w:rPr>
              <w:t>Additional Paid-</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restart"/>
          </w:tcPr>
          <w:p>
            <w:pPr>
              <w:jc w:val="center"/>
              <w:ind w:right="72"/>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restart"/>
          </w:tcPr>
          <w:p>
            <w:pPr>
              <w:ind w:left="40"/>
              <w:spacing w:after="0" w:line="129"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vMerge w:val="restart"/>
          </w:tcPr>
          <w:p>
            <w:pPr>
              <w:jc w:val="center"/>
              <w:ind w:right="73"/>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91"/>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30"/>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74,570,198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1,071,183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(1,340,036)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2"/>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(323,778)</w:t>
            </w: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w w:val="92"/>
              </w:rPr>
              <w:t>Vesting of restricted stock units and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40"/>
              <w:spacing w:after="0" w:line="189" w:lineRule="exact"/>
              <w:rPr>
                <w:sz w:val="20"/>
                <w:szCs w:val="20"/>
                <w:color w:val="auto"/>
              </w:rPr>
            </w:pPr>
            <w:r>
              <w:rPr>
                <w:rFonts w:ascii="Arial" w:cs="Arial" w:eastAsia="Arial" w:hAnsi="Arial"/>
                <w:sz w:val="18"/>
                <w:szCs w:val="18"/>
                <w:color w:val="auto"/>
                <w:w w:val="92"/>
              </w:rPr>
              <w:t>performance-based restricted stock</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units</w:t>
            </w:r>
          </w:p>
        </w:tc>
        <w:tc>
          <w:tcPr>
            <w:tcW w:w="1180" w:type="dxa"/>
            <w:vAlign w:val="bottom"/>
          </w:tcPr>
          <w:p>
            <w:pPr>
              <w:jc w:val="right"/>
              <w:spacing w:after="0"/>
              <w:rPr>
                <w:sz w:val="20"/>
                <w:szCs w:val="20"/>
                <w:color w:val="auto"/>
              </w:rPr>
            </w:pPr>
            <w:r>
              <w:rPr>
                <w:rFonts w:ascii="Arial" w:cs="Arial" w:eastAsia="Arial" w:hAnsi="Arial"/>
                <w:sz w:val="18"/>
                <w:szCs w:val="18"/>
                <w:color w:val="auto"/>
              </w:rPr>
              <w:t>372,117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ESPP Shares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Issuance of common stock,</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warrants, and pre-funded warrants,</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12,205,000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issuance costs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Arial" w:cs="Arial" w:eastAsia="Arial" w:hAnsi="Arial"/>
                <w:sz w:val="18"/>
                <w:szCs w:val="18"/>
                <w:color w:val="auto"/>
              </w:rPr>
              <w:t>Other comprehensive gain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180" w:type="dxa"/>
            <w:vAlign w:val="bottom"/>
          </w:tcPr>
          <w:p>
            <w:pPr>
              <w:jc w:val="right"/>
              <w:spacing w:after="0"/>
              <w:rPr>
                <w:sz w:val="20"/>
                <w:szCs w:val="20"/>
                <w:color w:val="auto"/>
              </w:rPr>
            </w:pPr>
            <w:r>
              <w:rPr>
                <w:rFonts w:ascii="Arial" w:cs="Arial" w:eastAsia="Arial" w:hAnsi="Arial"/>
                <w:sz w:val="18"/>
                <w:szCs w:val="18"/>
                <w:color w:val="auto"/>
              </w:rPr>
              <w:t>87,242,969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1,127,004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(1,401,755)</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2"/>
              </w:rPr>
              <w:t>(54,998)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(329,663)</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from</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3,312,908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ATM program, net of issuance costs</w:t>
            </w: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Exercise of pre-funded warrants</w:t>
            </w:r>
          </w:p>
        </w:tc>
        <w:tc>
          <w:tcPr>
            <w:tcW w:w="1180" w:type="dxa"/>
            <w:vAlign w:val="bottom"/>
          </w:tcPr>
          <w:p>
            <w:pPr>
              <w:jc w:val="right"/>
              <w:spacing w:after="0"/>
              <w:rPr>
                <w:sz w:val="20"/>
                <w:szCs w:val="20"/>
                <w:color w:val="auto"/>
              </w:rPr>
            </w:pPr>
            <w:r>
              <w:rPr>
                <w:rFonts w:ascii="Arial" w:cs="Arial" w:eastAsia="Arial" w:hAnsi="Arial"/>
                <w:sz w:val="18"/>
                <w:szCs w:val="18"/>
                <w:color w:val="auto"/>
              </w:rPr>
              <w:t>10,098,747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gain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(49,935)</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June 30, 2023</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100,870,527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1,134,609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(1,451,690)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92"/>
              </w:rPr>
              <w:t>(54,998)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(371,978)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(111,654)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(123,055)</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discounts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716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6"/>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related to the revenue interest liability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37"/>
        </w:trPr>
        <w:tc>
          <w:tcPr>
            <w:tcW w:w="71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(89,522)</w:t>
            </w: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sales/maturities of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Payments on revenue interest liability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3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Proceeds from issuance of common stock, warrants, and pre-funded warrants, net of issuance costs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Proceeds from issuance of common stock from ATM program,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20,209</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pre-funded warrants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issuance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(85,952)</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258,892</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172,940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issuance costs not yet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Non cash right of use asset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Esperion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9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Esperion Therapeutics, Inc. ("the Company”) is a pharmaceutical company focused on developing and commercializing accessible, oral, once-daily, non-statin medicines for patients struggling with elevated low-density lipoprotein cholesterol ("LDL-C"). Through commercial execution and completion of the CLEAR Outcomes trial as well as advancing the Company's pre-clinical pipeline, the Company continues to evolve into a differentiated, global cardiometabolic biotech. The Esperion team of lipid experts are dedicated to lowering bad 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Bempedoic acid and the bempedoic acid / ezetimibe combination tablet are oral, once-daily, non-statin, LDL-C lowering medicines for patients with atherosclerotic cardiovascular disease ("ASCVD") or heterozygous familial hypercholesterolemia ("HeFH").</w:t>
      </w:r>
    </w:p>
    <w:p>
      <w:pPr>
        <w:spacing w:after="0" w:line="20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The Company recently completed a global cardiovascular outcomes trial, or CVOT — known as </w:t>
      </w:r>
      <w:r>
        <w:rPr>
          <w:rFonts w:ascii="Arial" w:cs="Arial" w:eastAsia="Arial" w:hAnsi="Arial"/>
          <w:sz w:val="16"/>
          <w:szCs w:val="16"/>
          <w:b w:val="1"/>
          <w:bCs w:val="1"/>
          <w:color w:val="auto"/>
        </w:rPr>
        <w:t>C</w:t>
      </w:r>
      <w:r>
        <w:rPr>
          <w:rFonts w:ascii="Arial" w:cs="Arial" w:eastAsia="Arial" w:hAnsi="Arial"/>
          <w:sz w:val="16"/>
          <w:szCs w:val="16"/>
          <w:color w:val="auto"/>
        </w:rPr>
        <w:t xml:space="preserve">holesterol </w:t>
      </w:r>
      <w:r>
        <w:rPr>
          <w:rFonts w:ascii="Arial" w:cs="Arial" w:eastAsia="Arial" w:hAnsi="Arial"/>
          <w:sz w:val="16"/>
          <w:szCs w:val="16"/>
          <w:b w:val="1"/>
          <w:bCs w:val="1"/>
          <w:color w:val="auto"/>
        </w:rPr>
        <w:t>L</w:t>
      </w:r>
      <w:r>
        <w:rPr>
          <w:rFonts w:ascii="Arial" w:cs="Arial" w:eastAsia="Arial" w:hAnsi="Arial"/>
          <w:sz w:val="16"/>
          <w:szCs w:val="16"/>
          <w:color w:val="auto"/>
        </w:rPr>
        <w:t>owering via B</w:t>
      </w:r>
      <w:r>
        <w:rPr>
          <w:rFonts w:ascii="Arial" w:cs="Arial" w:eastAsia="Arial" w:hAnsi="Arial"/>
          <w:sz w:val="16"/>
          <w:szCs w:val="16"/>
          <w:b w:val="1"/>
          <w:bCs w:val="1"/>
          <w:color w:val="auto"/>
        </w:rPr>
        <w:t>E</w:t>
      </w:r>
      <w:r>
        <w:rPr>
          <w:rFonts w:ascii="Arial" w:cs="Arial" w:eastAsia="Arial" w:hAnsi="Arial"/>
          <w:sz w:val="16"/>
          <w:szCs w:val="16"/>
          <w:color w:val="auto"/>
        </w:rPr>
        <w:t xml:space="preserve">mpedoic Acid, an </w:t>
      </w:r>
      <w:r>
        <w:rPr>
          <w:rFonts w:ascii="Arial" w:cs="Arial" w:eastAsia="Arial" w:hAnsi="Arial"/>
          <w:sz w:val="16"/>
          <w:szCs w:val="16"/>
          <w:b w:val="1"/>
          <w:bCs w:val="1"/>
          <w:color w:val="auto"/>
        </w:rPr>
        <w:t>A</w:t>
      </w:r>
      <w:r>
        <w:rPr>
          <w:rFonts w:ascii="Arial" w:cs="Arial" w:eastAsia="Arial" w:hAnsi="Arial"/>
          <w:sz w:val="16"/>
          <w:szCs w:val="16"/>
          <w:color w:val="auto"/>
        </w:rPr>
        <w:t xml:space="preserve">CL-inhibiting </w:t>
      </w:r>
      <w:r>
        <w:rPr>
          <w:rFonts w:ascii="Arial" w:cs="Arial" w:eastAsia="Arial" w:hAnsi="Arial"/>
          <w:sz w:val="16"/>
          <w:szCs w:val="16"/>
          <w:b w:val="1"/>
          <w:bCs w:val="1"/>
          <w:color w:val="auto"/>
        </w:rPr>
        <w:t>R</w:t>
      </w:r>
      <w:r>
        <w:rPr>
          <w:rFonts w:ascii="Arial" w:cs="Arial" w:eastAsia="Arial" w:hAnsi="Arial"/>
          <w:sz w:val="16"/>
          <w:szCs w:val="16"/>
          <w:color w:val="auto"/>
        </w:rPr>
        <w:t>egimen (CLEAR) Outcomes. The trial was designed to evaluate whether treatment with bempedoic acid reduced the risk of cardiovascular events in patients who are statin averse and who have CVD or are at high risk for CVD. The Company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On December 7, 2022, the Company announced that the study had met its primary endpoint.</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4, 2023, the Company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now becomes the first LDL-C lowering therapy since statins proven to lower hard ischemic events, not only in those with ASCVD but also in the large number of primary prevention patients for whom limited therapies exist.</w:t>
      </w:r>
    </w:p>
    <w:p>
      <w:pPr>
        <w:spacing w:after="0" w:line="21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March 19, 2023, the Company entered into a Securities Purchase Agreement (the “Purchase Agreement”) with certain purchasers named therein (the “Purchasers”), pursuant to which the Company agreed to issue and sell, in a registered direct offering (the “Offering”), 12,205,000 shares of its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In connection with the Offering, the Company amended, pursuant to Warrant Amendment Agreements (the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The Company received gross proceeds of approximately $55.5 million from the Offering, before deducting placement agent fees and related offering expenses. The net proceeds to the Company from the Offering, after deducting the placement agent fees and expenses and the Company’s estimated offering expenses, are approximately $51.3 million. In addition, the Company received approximately $1.2 million as the gross consideration in connection with the Warrant Amendment Agreements. The net proceeds of the Warrant Amendment Agreements after deducting placement fees were approximately $1.1 million. Refer to Note 13 "Stockholders' Deficit" for further information.</w:t>
      </w:r>
    </w:p>
    <w:p>
      <w:pPr>
        <w:spacing w:after="0" w:line="200" w:lineRule="exact"/>
        <w:rPr>
          <w:sz w:val="20"/>
          <w:szCs w:val="20"/>
          <w:color w:val="auto"/>
        </w:rPr>
      </w:pP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On June 1, 2023, the Company announced that it submitted Supplemental New Drug Applications ("sNDAs") to the FDA seeking to add the use of both NEXLETOL and NEXLIZET for cardiovascular risk reduction and also seeking to remove the statin limitation in the LDL-C indication. The Company anticipates FDA approval of the sNDAs in the first half of 2024. On June 28, 2023, the Company announced that the application was filed for a Type II(a) variation with the EMA for the Company’s oral non-statin products marketed as NILEMDO® (bempedoic acid) tablets and NUSTENDI® (bempedoic acid and ezetimibe) tablets in Europe. The application asks EMA to approve both NILEMDO and NUSTENDI to reduce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cardiovascular risk in patients with or at high risk for atherosclerotic cardiovascular disease. The Company anticipates EMA approval in the first half of 2024.</w:t>
      </w:r>
    </w:p>
    <w:p>
      <w:pPr>
        <w:spacing w:after="0" w:line="198"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Company's primary activities since incorporation have been conducting research and development activities, including nonclinical, preclinical and clinical testing, gaining commercial approval of its products, developing a commercial sales team, performing business and financial planning, recruiting personnel, and raising capital.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(or additional or expanded indications for approved products); manage its management, commercial and scientific staff; and finance its operations with an ultimate goal of achieving profitable operations.</w:t>
      </w:r>
    </w:p>
    <w:p>
      <w:pPr>
        <w:spacing w:after="0" w:line="2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sustained annual operating losses since inception and expects such losses to continue over the foreseeable future. While management believes current cash resources and future cash received from the Company's net product sales and collaboration agreements with Daiichi Sankyo Europe GmbH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2022, and the notes thereto, which are included in the Company’s Annual Report on Form 10-K for the year ended December 31, 2022. The results of operations for the interim periods are not necessarily indicative of the results to be expected for a full year, any other interim periods or any future year or period.</w:t>
      </w:r>
    </w:p>
    <w:p>
      <w:pPr>
        <w:spacing w:after="0" w:line="177" w:lineRule="exact"/>
        <w:rPr>
          <w:sz w:val="20"/>
          <w:szCs w:val="20"/>
          <w:color w:val="auto"/>
        </w:rPr>
      </w:pPr>
    </w:p>
    <w:p>
      <w:pPr>
        <w:ind w:right="766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180"/>
        <w:spacing w:after="0" w:line="263"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balance sheet date are classified as current. Investments with a maturity beyond twelve months from the balance sheet date are classified as long-term.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enters into a limited number of distribution agreements with distributors and specialty pharmacies. The Company's net product sales are with these customers. As of June 30, 2023 and December 31, 2022, eleven customers accounted for all of the Company's net trade receivables.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spacing w:after="0" w:line="17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Revenue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5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 income.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Company's collaboration agreements, product sales and cost of sales may be recorded by the Company's collaborators as they are deemed to be the principal in the transaction. The Company receives royalties from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commercialization of such products, and records its share of the variable consideration, representing a percentage of net product sales, as collaboration revenue in the period in which such underlying sales occur and costs are incurred by the collaborator.</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Product Sales, Net</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Net product sales totaled $20.3 million and $37.3 million for the three and six months ended June 30, 2023, respectively, and $13.6 million and $26.9 million for the three and six months ended June 30, 2022, respectively.</w:t>
      </w:r>
    </w:p>
    <w:p>
      <w:pPr>
        <w:spacing w:after="0" w:line="16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Liabilities for co-pay assistance, expected product returns, rebates, and distributor fees are classified as “Accrued variable consideration” in the condensed balance sheets. Discounts, such as prompt pay discounts, and chargebacks are recorded as a reduction to trade accounts receivable in the condensed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Forms of Variable Consideration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Rebates and Chargebacks: </w:t>
      </w:r>
      <w:r>
        <w:rPr>
          <w:rFonts w:ascii="Arial" w:cs="Arial" w:eastAsia="Arial" w:hAnsi="Arial"/>
          <w:sz w:val="17"/>
          <w:szCs w:val="17"/>
          <w:color w:val="auto"/>
        </w:rPr>
        <w:t>The Company estimates reductions to product sales for Public Health Service Institutions, such as Medicaid, Medicare</w:t>
      </w:r>
      <w:r>
        <w:rPr>
          <w:rFonts w:ascii="Arial" w:cs="Arial" w:eastAsia="Arial" w:hAnsi="Arial"/>
          <w:sz w:val="17"/>
          <w:szCs w:val="17"/>
          <w:i w:val="1"/>
          <w:iCs w:val="1"/>
          <w:color w:val="auto"/>
        </w:rPr>
        <w:t xml:space="preserve"> </w:t>
      </w:r>
      <w:r>
        <w:rPr>
          <w:rFonts w:ascii="Arial" w:cs="Arial" w:eastAsia="Arial" w:hAnsi="Arial"/>
          <w:sz w:val="17"/>
          <w:szCs w:val="17"/>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7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Co-pay assistance: </w:t>
      </w:r>
      <w:r>
        <w:rPr>
          <w:rFonts w:ascii="Arial" w:cs="Arial" w:eastAsia="Arial" w:hAnsi="Arial"/>
          <w:sz w:val="17"/>
          <w:szCs w:val="17"/>
          <w:color w:val="auto"/>
        </w:rPr>
        <w:t>Eligible patients who have commercial insurance may receive assistance from the Company to reduce the patient's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6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i w:val="1"/>
          <w:iCs w:val="1"/>
          <w:color w:val="auto"/>
        </w:rPr>
        <w:t xml:space="preserve">Distribution Fees: </w:t>
      </w:r>
      <w:r>
        <w:rPr>
          <w:rFonts w:ascii="Arial" w:cs="Arial" w:eastAsia="Arial" w:hAnsi="Arial"/>
          <w:sz w:val="18"/>
          <w:szCs w:val="18"/>
          <w:color w:val="auto"/>
        </w:rPr>
        <w:t>The Company has written contracts with its customers that include terms for distribution fees and costs for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Company estimates and records distribution fees due to its customers based on gross sales.</w:t>
      </w:r>
    </w:p>
    <w:p>
      <w:pPr>
        <w:spacing w:after="0" w:line="17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 generally offers a right of return based on the product’s expiration date and certain spoilage and damaged</w:t>
      </w:r>
      <w:r>
        <w:rPr>
          <w:rFonts w:ascii="Arial" w:cs="Arial" w:eastAsia="Arial" w:hAnsi="Arial"/>
          <w:sz w:val="18"/>
          <w:szCs w:val="18"/>
          <w:i w:val="1"/>
          <w:iCs w:val="1"/>
          <w:color w:val="auto"/>
        </w:rPr>
        <w:t xml:space="preserve"> </w:t>
      </w:r>
      <w:r>
        <w:rPr>
          <w:rFonts w:ascii="Arial" w:cs="Arial" w:eastAsia="Arial" w:hAnsi="Arial"/>
          <w:sz w:val="18"/>
          <w:szCs w:val="18"/>
          <w:color w:val="auto"/>
        </w:rPr>
        <w:t>instances. The Company estimates the amount of product sales that may be returned and records the estimate as a reduction of product sales in the period the related product sales is recognized. The Company’s estimates for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expected returns are based primarily on an ongoing analysis of sales information and visibility into the inventory remaining in the distribution channel.</w:t>
      </w:r>
    </w:p>
    <w:p>
      <w:pPr>
        <w:spacing w:after="0" w:line="23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Discounts: </w:t>
      </w:r>
      <w:r>
        <w:rPr>
          <w:rFonts w:ascii="Arial" w:cs="Arial" w:eastAsia="Arial" w:hAnsi="Arial"/>
          <w:sz w:val="18"/>
          <w:szCs w:val="18"/>
          <w:color w:val="auto"/>
        </w:rPr>
        <w:t>The Company provides product discounts, such as prompt pay discounts, to its customers. The Company estimates cash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terms in negotiated contracts and the Company’s expectations regarding future payment patterns.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46"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Implemented Accounting Pronouncements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the Company’s Annual Report on Form 10-K for the fiscal year ended December 31, 2022.</w:t>
      </w:r>
    </w:p>
    <w:p>
      <w:pPr>
        <w:spacing w:after="0" w:line="166" w:lineRule="exact"/>
        <w:rPr>
          <w:sz w:val="20"/>
          <w:szCs w:val="20"/>
          <w:color w:val="auto"/>
        </w:rPr>
      </w:pPr>
    </w:p>
    <w:p>
      <w:pPr>
        <w:ind w:right="844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with Third Parties DSE Agreement Terms</w:t>
      </w:r>
    </w:p>
    <w:p>
      <w:pPr>
        <w:ind w:right="40"/>
        <w:spacing w:after="0" w:line="273" w:lineRule="auto"/>
        <w:rPr>
          <w:sz w:val="20"/>
          <w:szCs w:val="20"/>
          <w:color w:val="auto"/>
        </w:rPr>
      </w:pPr>
      <w:r>
        <w:rPr>
          <w:rFonts w:ascii="Arial" w:cs="Arial" w:eastAsia="Arial" w:hAnsi="Arial"/>
          <w:sz w:val="17"/>
          <w:szCs w:val="17"/>
          <w:color w:val="auto"/>
        </w:rPr>
        <w:t>On January 2, 2019, the Company entered into a license and collaboration agreement with DSE, which was furthered amended on June 18, 2020. Pursuant to the amended agreement,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Pursuant to the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The Company is also eligible to receive an additional regulatory milestone payment of either $200 million or $300 million upon inclusion of cardiovascular risk reduction data in the EU label, depending on the range of relative cardiovascular risk reduction in the CLEAR Outcomes study. Refer to Note 5 "Commitments and Contingencies" for further information. In addition, the Company is eligible to receive additional sales milestone payments related to total net sales achievements for DSE in the DSE Territory. Finally, the Company receives tiered fifteen percent (15%) to twenty-five percent (25%) royalties on net DSE Territory sales.</w:t>
      </w:r>
    </w:p>
    <w:p>
      <w:pPr>
        <w:spacing w:after="0" w:line="207"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three and six months ended June 30, 2023, the Company recognized collaboration revenue of approximately $5.3 million and $12.4 million, respectively, and in the three and six months ended June 30, 2022, the Company recognized collaboration revenue of approximately $5.0 million and $10.3 million, respectively, related to royalty revenue from DSE from the sales of NILEMDO and NUSTENDI as well as the sales of bulk tablets to DSE pursuant to the supply agreement that was executed with DSE.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remaining future potential milestone amounts were not included in the transaction price, as they were all determined to be fully constrained following the concepts of ASC 606 due to the fact that such amounts hinge on development activities,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regulatory approvals and sales-based milestones. Additionally, the Company expects that any consideration related to sales-based milestones will be recognized when the subsequent sales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Otsuka Agreement Terms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for NEXLETOL in the Otsuka Territory, and following Regulatory Approval and NHI Price Listing, up to $50.0 million upon the achievement of the primary major adverse cardiovascular events (“MACE”) in the CLEAR Outcomes study and the CV risk reduction rate on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considered the guidance under ASC 606 and concluded that the agreement was in the scope of ASC 606. The Company did not have any collaboration revenue from the Otsuka Agreement during the three and six months ended June 30, 2023 and 2022.</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yet recognized any revenue for milestone payments as the related regulatory and commercial milestones have not yet been achieved.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DS Agreement Terms</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also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39" w:lineRule="exact"/>
        <w:rPr>
          <w:sz w:val="20"/>
          <w:szCs w:val="20"/>
          <w:color w:val="auto"/>
        </w:rPr>
      </w:pPr>
    </w:p>
    <w:p>
      <w:pPr>
        <w:ind w:right="60" w:firstLine="243"/>
        <w:spacing w:after="0" w:line="265" w:lineRule="auto"/>
        <w:rPr>
          <w:sz w:val="20"/>
          <w:szCs w:val="20"/>
          <w:color w:val="auto"/>
        </w:rPr>
      </w:pPr>
      <w:r>
        <w:rPr>
          <w:rFonts w:ascii="Arial" w:cs="Arial" w:eastAsia="Arial" w:hAnsi="Arial"/>
          <w:sz w:val="16"/>
          <w:szCs w:val="16"/>
          <w:color w:val="auto"/>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w:t>
      </w:r>
    </w:p>
    <w:p>
      <w:pPr>
        <w:spacing w:after="0" w:line="1" w:lineRule="exact"/>
        <w:rPr>
          <w:sz w:val="20"/>
          <w:szCs w:val="20"/>
          <w:color w:val="auto"/>
        </w:rPr>
      </w:pPr>
    </w:p>
    <w:p>
      <w:pPr>
        <w:ind w:right="40" w:firstLine="8"/>
        <w:spacing w:after="0" w:line="236"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For the three and six months ended June 30, 2023, the Company recognized $0.2 million and $0.4 million, respectively, of collaboration revenue related to the ongoing regulatory and development activities and for the three and six months ended June 30, 2022, the Company recognized $0.2 million and $0.4 million, respectively, of collaboration revenue related to the ongoing regulatory and development activities. The remaining $0.3 million of the upfront payment was deferred as of June 30, 2023 due to an on-going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performance obligation related to the developmental activities in South Korea and Taiwan. This deferred revenue will be recognized ratably over the period leading up to the completion of these developmental activities.</w:t>
      </w:r>
    </w:p>
    <w:p>
      <w:pPr>
        <w:spacing w:after="0" w:line="21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December 31, 2022</w:t>
            </w:r>
          </w:p>
        </w:tc>
      </w:tr>
      <w:tr>
        <w:trPr>
          <w:trHeight w:val="33"/>
        </w:trPr>
        <w:tc>
          <w:tcPr>
            <w:tcW w:w="7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26,558</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23"/>
        </w:trPr>
        <w:tc>
          <w:tcPr>
            <w:tcW w:w="7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35,201</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1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March 4, 2023, the Company announced the full results from its Cholesterol Lowering via Bempedoic acid, an ACL-Inhibiting Regimen (CLEAR) Outcomes trial. Based on the terms of the contract with DSE, the Company is eligible for partner milestone payments upon inclusion of cardiovascular risk reduction data in the EU label, for which payment is tied to the magnitude of the risk percentage reduction included in the label (among other requirements) and ranges from $200 million for the inclusion of cardiovascular risk reduction in the EU label that correlates with a relative risk reduction rate that, based on the CLEAR Outcomes data, is equal or greater than 15% but less than 20%, to $300 million if such risk reduction in the EU label that correlates with a relative risk reduction rate is equal or greater than 20%. Based on the CLEAR Outcomes data, the Company believes it would be entitled to receive $300 million in partner milestone payments upon inclusion of cardiovascular risk reduction data in the EU label.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had communications with DSE regarding potential milestone payments in which DSE has conveyed that it disagrees with the Company’s assessment that the CLEAR Outcomes data would support the Company’s right to receive any milestone payments upon inclusion of certain required cardiovascular risk reduction data in the EU label. Even if the Company is successful in enforcing its rights, there could be a delay in the Company’s receipt of the milestone payments as a result of any dispute relating to such payments. Any failure to receive or any delay in receipt of the milestone payments may significantly impact the Company’s future capital needs, ability to recognize revenue for the milestone upon inclusion of cardiovascular risk reduction data in the EU label, and ability to fund operations.</w:t>
      </w:r>
    </w:p>
    <w:p>
      <w:pPr>
        <w:spacing w:after="0" w:line="2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27, 2023, the Company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CLEAR Outcomes trial demonstrating significant cardiovascular risk reductions.</w:t>
      </w:r>
    </w:p>
    <w:p>
      <w:pPr>
        <w:spacing w:after="0" w:line="200"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On May 4, 2023, the Company filed an amended complaint against DSE in the Southern District of New York. The complaint seeks a judicial declaration, on an expedited basis, that DSE is contractually required to make a $300 million milestone payment to the Company upon applicable regulatory approval. On June 20, 2023, DSE filed a response to the amended complaint.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cash equivalents and short-term investments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158"/>
              <w:spacing w:after="0" w:line="12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58"/>
              <w:spacing w:after="0" w:line="13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112,110</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112,110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105,078</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105,078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notes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152,562</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(5)</w:t>
            </w:r>
          </w:p>
        </w:tc>
        <w:tc>
          <w:tcPr>
            <w:tcW w:w="2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three and six months ended June 30, 2023, other income, net in the statements of operations includes interest income on investments of $1.4 million and $2.3 million, respectively. During the three and six months ended June 30, 2022, other income, net in the statements of operations includes interest income on investments of $0.4 million and $0.7 million, respectively. During the three and six months ended June 30, 2023, other income, net in the statements of operations includes accretion of premiums and discounts on investments of $0.1 million and $0.4 million, respectively. During the three and six months ended June 30, 2022, other income, net in the statements of operations includes amortization of premiums and discounts on investments of $0.2 million and $0.4 million, respectively.</w:t>
      </w:r>
    </w:p>
    <w:p>
      <w:pPr>
        <w:spacing w:after="0" w:line="19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were no unrealized gains or losses on investments reclassified from accumulated other comprehensive income (loss) to other income in the statements of operations during the three and six months ended June 30, 2023 and 2022.</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the three and six months ended June 30, 2023 and 2022, there were no allowances for credit losses and all unrealized gains (losses) for available-for-sale securities were recognized in accumulated other comprehensive income (loss). As of June 30, 2023, the Company had no accrued interest receivables.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Level 1 inputs:</w:t>
            </w:r>
          </w:p>
        </w:tc>
        <w:tc>
          <w:tcPr>
            <w:tcW w:w="9660" w:type="dxa"/>
            <w:vAlign w:val="bottom"/>
          </w:tcPr>
          <w:p>
            <w:pPr>
              <w:ind w:left="460"/>
              <w:spacing w:after="0"/>
              <w:rPr>
                <w:sz w:val="20"/>
                <w:szCs w:val="20"/>
                <w:color w:val="auto"/>
              </w:rPr>
            </w:pPr>
            <w:r>
              <w:rPr>
                <w:rFonts w:ascii="Arial" w:cs="Arial" w:eastAsia="Arial" w:hAnsi="Arial"/>
                <w:sz w:val="18"/>
                <w:szCs w:val="18"/>
                <w:color w:val="auto"/>
              </w:rPr>
              <w:t>Quoted prices for identical assets or liabilities in active markets;</w:t>
            </w:r>
          </w:p>
        </w:tc>
      </w:tr>
      <w:tr>
        <w:trPr>
          <w:trHeight w:val="351"/>
        </w:trPr>
        <w:tc>
          <w:tcPr>
            <w:tcW w:w="1580" w:type="dxa"/>
            <w:vAlign w:val="bottom"/>
          </w:tcPr>
          <w:p>
            <w:pPr>
              <w:ind w:left="20"/>
              <w:spacing w:after="0"/>
              <w:rPr>
                <w:sz w:val="20"/>
                <w:szCs w:val="20"/>
                <w:color w:val="auto"/>
              </w:rPr>
            </w:pPr>
            <w:r>
              <w:rPr>
                <w:rFonts w:ascii="Arial" w:cs="Arial" w:eastAsia="Arial" w:hAnsi="Arial"/>
                <w:sz w:val="18"/>
                <w:szCs w:val="18"/>
                <w:color w:val="auto"/>
              </w:rPr>
              <w:t>Level 2 inputs:</w:t>
            </w:r>
          </w:p>
        </w:tc>
        <w:tc>
          <w:tcPr>
            <w:tcW w:w="9660" w:type="dxa"/>
            <w:vAlign w:val="bottom"/>
          </w:tcPr>
          <w:p>
            <w:pPr>
              <w:ind w:left="460"/>
              <w:spacing w:after="0"/>
              <w:rPr>
                <w:sz w:val="20"/>
                <w:szCs w:val="20"/>
                <w:color w:val="auto"/>
              </w:rPr>
            </w:pPr>
            <w:r>
              <w:rPr>
                <w:rFonts w:ascii="Arial" w:cs="Arial" w:eastAsia="Arial" w:hAnsi="Arial"/>
                <w:sz w:val="18"/>
                <w:szCs w:val="18"/>
                <w:color w:val="auto"/>
                <w:w w:val="93"/>
              </w:rPr>
              <w:t>Observable inputs other than Level 1 prices, such as quoted market prices for similar assets or liabilities or other inputs that</w:t>
            </w:r>
          </w:p>
        </w:tc>
      </w:tr>
      <w:tr>
        <w:trPr>
          <w:trHeight w:val="230"/>
        </w:trPr>
        <w:tc>
          <w:tcPr>
            <w:tcW w:w="1580" w:type="dxa"/>
            <w:vAlign w:val="bottom"/>
          </w:tcPr>
          <w:p>
            <w:pPr>
              <w:spacing w:after="0"/>
              <w:rPr>
                <w:sz w:val="20"/>
                <w:szCs w:val="20"/>
                <w:color w:val="auto"/>
              </w:rPr>
            </w:pPr>
          </w:p>
        </w:tc>
        <w:tc>
          <w:tcPr>
            <w:tcW w:w="9660" w:type="dxa"/>
            <w:vAlign w:val="bottom"/>
          </w:tcPr>
          <w:p>
            <w:pPr>
              <w:ind w:left="460"/>
              <w:spacing w:after="0"/>
              <w:rPr>
                <w:sz w:val="20"/>
                <w:szCs w:val="20"/>
                <w:color w:val="auto"/>
              </w:rPr>
            </w:pPr>
            <w:r>
              <w:rPr>
                <w:rFonts w:ascii="Arial" w:cs="Arial" w:eastAsia="Arial" w:hAnsi="Arial"/>
                <w:sz w:val="18"/>
                <w:szCs w:val="18"/>
                <w:color w:val="auto"/>
              </w:rPr>
              <w:t>are observable or can be corroborated by market data; and</w:t>
            </w:r>
          </w:p>
        </w:tc>
      </w:tr>
      <w:tr>
        <w:trPr>
          <w:trHeight w:val="337"/>
        </w:trPr>
        <w:tc>
          <w:tcPr>
            <w:tcW w:w="1580" w:type="dxa"/>
            <w:vAlign w:val="bottom"/>
          </w:tcPr>
          <w:p>
            <w:pPr>
              <w:ind w:left="20"/>
              <w:spacing w:after="0"/>
              <w:rPr>
                <w:sz w:val="20"/>
                <w:szCs w:val="20"/>
                <w:color w:val="auto"/>
              </w:rPr>
            </w:pPr>
            <w:r>
              <w:rPr>
                <w:rFonts w:ascii="Arial" w:cs="Arial" w:eastAsia="Arial" w:hAnsi="Arial"/>
                <w:sz w:val="18"/>
                <w:szCs w:val="18"/>
                <w:color w:val="auto"/>
              </w:rPr>
              <w:t>Level 3 inputs:</w:t>
            </w:r>
          </w:p>
        </w:tc>
        <w:tc>
          <w:tcPr>
            <w:tcW w:w="9660" w:type="dxa"/>
            <w:vAlign w:val="bottom"/>
          </w:tcPr>
          <w:p>
            <w:pPr>
              <w:ind w:left="460"/>
              <w:spacing w:after="0"/>
              <w:rPr>
                <w:sz w:val="20"/>
                <w:szCs w:val="20"/>
                <w:color w:val="auto"/>
              </w:rPr>
            </w:pPr>
            <w:r>
              <w:rPr>
                <w:rFonts w:ascii="Arial" w:cs="Arial" w:eastAsia="Arial" w:hAnsi="Arial"/>
                <w:sz w:val="18"/>
                <w:szCs w:val="18"/>
                <w:color w:val="auto"/>
                <w:w w:val="93"/>
              </w:rPr>
              <w:t>Unobservable inputs that are supported by little or no market activity and require the reporting entity to develop assumptions</w:t>
            </w:r>
          </w:p>
        </w:tc>
      </w:tr>
      <w:tr>
        <w:trPr>
          <w:trHeight w:val="230"/>
        </w:trPr>
        <w:tc>
          <w:tcPr>
            <w:tcW w:w="1580" w:type="dxa"/>
            <w:vAlign w:val="bottom"/>
          </w:tcPr>
          <w:p>
            <w:pPr>
              <w:spacing w:after="0"/>
              <w:rPr>
                <w:sz w:val="20"/>
                <w:szCs w:val="20"/>
                <w:color w:val="auto"/>
              </w:rPr>
            </w:pPr>
          </w:p>
        </w:tc>
        <w:tc>
          <w:tcPr>
            <w:tcW w:w="9660" w:type="dxa"/>
            <w:vAlign w:val="bottom"/>
          </w:tcPr>
          <w:p>
            <w:pPr>
              <w:ind w:left="460"/>
              <w:spacing w:after="0"/>
              <w:rPr>
                <w:sz w:val="20"/>
                <w:szCs w:val="20"/>
                <w:color w:val="auto"/>
              </w:rPr>
            </w:pPr>
            <w:r>
              <w:rPr>
                <w:rFonts w:ascii="Arial" w:cs="Arial" w:eastAsia="Arial" w:hAnsi="Arial"/>
                <w:sz w:val="18"/>
                <w:szCs w:val="18"/>
                <w:color w:val="auto"/>
              </w:rPr>
              <w:t>that market participants would use when pricing the asset or liability.</w:t>
            </w:r>
          </w:p>
        </w:tc>
      </w:tr>
      <w:tr>
        <w:trPr>
          <w:trHeight w:val="863"/>
        </w:trPr>
        <w:tc>
          <w:tcPr>
            <w:tcW w:w="1580" w:type="dxa"/>
            <w:vAlign w:val="bottom"/>
          </w:tcPr>
          <w:p>
            <w:pPr>
              <w:spacing w:after="0"/>
              <w:rPr>
                <w:sz w:val="24"/>
                <w:szCs w:val="24"/>
                <w:color w:val="auto"/>
              </w:rPr>
            </w:pPr>
          </w:p>
        </w:tc>
        <w:tc>
          <w:tcPr>
            <w:tcW w:w="9660" w:type="dxa"/>
            <w:vAlign w:val="bottom"/>
          </w:tcPr>
          <w:p>
            <w:pPr>
              <w:ind w:left="3960"/>
              <w:spacing w:after="0"/>
              <w:rPr>
                <w:sz w:val="20"/>
                <w:szCs w:val="20"/>
                <w:color w:val="auto"/>
              </w:rPr>
            </w:pPr>
            <w:r>
              <w:rPr>
                <w:rFonts w:ascii="Arial" w:cs="Arial" w:eastAsia="Arial" w:hAnsi="Arial"/>
                <w:sz w:val="18"/>
                <w:szCs w:val="18"/>
                <w:color w:val="auto"/>
              </w:rPr>
              <w:t>14</w:t>
            </w:r>
          </w:p>
        </w:tc>
      </w:tr>
      <w:tr>
        <w:trPr>
          <w:trHeight w:val="115"/>
        </w:trPr>
        <w:tc>
          <w:tcPr>
            <w:tcW w:w="1580" w:type="dxa"/>
            <w:vAlign w:val="bottom"/>
            <w:tcBorders>
              <w:bottom w:val="single" w:sz="8" w:color="9A9A9A"/>
            </w:tcBorders>
          </w:tcPr>
          <w:p>
            <w:pPr>
              <w:spacing w:after="0"/>
              <w:rPr>
                <w:sz w:val="10"/>
                <w:szCs w:val="10"/>
                <w:color w:val="auto"/>
              </w:rPr>
            </w:pPr>
          </w:p>
        </w:tc>
        <w:tc>
          <w:tcPr>
            <w:tcW w:w="9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financial assets that have been measured at fair value on a recurring basis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105,078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105,078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U.S. treasury notes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1, 2 or 3 during the three and six months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Liability Related to the Revenue Interest Purchase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26, 2019, the Company entered into a Revenue Interest Purchase Agreement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6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18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the RIPA contains various representations and warranties, information rights, non-financial covenants, indemnification obligations and other provisions that are customary for a transaction of this nature.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RIPA Amendments</w:t>
      </w:r>
    </w:p>
    <w:p>
      <w:pPr>
        <w:spacing w:after="0" w:line="239"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RIPA Amendment 2,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 million from the restricted cash account (the “Partial Call”), (b) the amount of the Cumulative Purchaser Payments (as defined in the RIPA) was reduced to</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$177,777,778, and (c) the Purchasers and Purchaser Agent waived certain claimed defaults, breaches and Put Option Events under the RIPA and other related documents that may have occurred as a result of the Company’s opening of a new bank account.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7"/>
          <w:szCs w:val="17"/>
          <w:color w:val="auto"/>
        </w:rPr>
        <w:t>In accordance with the guidance in ASC 470</w:t>
      </w:r>
      <w:r>
        <w:rPr>
          <w:rFonts w:ascii="MS PGothic" w:cs="MS PGothic" w:eastAsia="MS PGothic" w:hAnsi="MS PGothic"/>
          <w:sz w:val="17"/>
          <w:szCs w:val="17"/>
          <w:color w:val="auto"/>
        </w:rPr>
        <w:t>‑</w:t>
      </w:r>
      <w:r>
        <w:rPr>
          <w:rFonts w:ascii="Arial" w:cs="Arial" w:eastAsia="Arial" w:hAnsi="Arial"/>
          <w:sz w:val="17"/>
          <w:szCs w:val="17"/>
          <w:color w:val="auto"/>
        </w:rPr>
        <w:t>50, “Debt—Modifications and Extinguishments,” the RIPA Amendment 3 was accounted for as a debt modification. The amendment resulted in a less than $0.1 million loss on modification of debt, consisting of third-party fees associated with the transaction, which is included in selling, general, and administrative expenses in the statements of operations for the year ended December 31, 2022.</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arrangement, as of June 30, 2023, the Company has recorded a liability, referred to as the “Revenue interest liability” on the balance sheet, of $259.8 million, net of $0.3 million of capitalized issuance costs in connection with the RIPA, which will be amortized to interest expense over the estimated term of the RIPA. The total redemption amount is equal to 225% of the Cumulative Purchaser Payments, or $400 million. At June 30, 2023, the remaining redemption amount is $381.5 million.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significant increase or decrease in future net sales will materially impact the revenue interest liability, interest expense and the time period for repayment. The Company recorded approximately $11.5 million and $22.8 million in interest expense related to this arrangement for the three and six months ended June 30, 2023, respectively, and approximately $11.2 million and $22.2 million in interest expense related to this arrangement for the three and six months ended June 30, 2022, respectively.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repayment of the RIPA to Oberland does not have a fixed repayment schedule, rather it will be completely repaid and extinguished when the Company has repaid 225% of the Cumulative Purchaser Payments.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As the U.S. net sales were less than $350 million for the year ended December 31, 2021, the Covered Territory was expanded to include worldwide sales beginning in 2022. The Company’s repayments of the RIPA are directly tied to the growth of its net sales, and as the Company’s net sales grow, the Company expects the related repayments of the RIPA to grow as well. The Company currently expects to repay $22.8 million in the next twelve months.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annual imputed interest rate is 18.1% as of June 30, 2023. Payments made to Oberland as a result of the Company’s net sales will reduce the revenue interest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interest liability activity during the six months ended 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color w:val="auto"/>
              </w:rPr>
              <w:t>(in thousands)</w:t>
            </w:r>
          </w:p>
        </w:tc>
      </w:tr>
      <w:tr>
        <w:trPr>
          <w:trHeight w:val="25"/>
        </w:trPr>
        <w:tc>
          <w:tcPr>
            <w:tcW w:w="9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interest liability at December 31,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243,605</w:t>
            </w:r>
          </w:p>
        </w:tc>
      </w:tr>
      <w:tr>
        <w:trPr>
          <w:trHeight w:val="229"/>
        </w:trPr>
        <w:tc>
          <w:tcPr>
            <w:tcW w:w="9780" w:type="dxa"/>
            <w:vAlign w:val="bottom"/>
          </w:tcPr>
          <w:p>
            <w:pPr>
              <w:ind w:left="140"/>
              <w:spacing w:after="0"/>
              <w:rPr>
                <w:sz w:val="20"/>
                <w:szCs w:val="20"/>
                <w:color w:val="auto"/>
              </w:rPr>
            </w:pPr>
            <w:r>
              <w:rPr>
                <w:rFonts w:ascii="Arial" w:cs="Arial" w:eastAsia="Arial" w:hAnsi="Arial"/>
                <w:sz w:val="18"/>
                <w:szCs w:val="18"/>
                <w:color w:val="auto"/>
              </w:rPr>
              <w:t>Interest expense recognized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22,785</w:t>
            </w:r>
          </w:p>
        </w:tc>
      </w:tr>
      <w:tr>
        <w:trPr>
          <w:trHeight w:val="243"/>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Interests payments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Total revenue interest liability at June 30, 2023</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259,774</w:t>
            </w:r>
          </w:p>
        </w:tc>
      </w:tr>
      <w:tr>
        <w:trPr>
          <w:trHeight w:val="20"/>
        </w:trPr>
        <w:tc>
          <w:tcPr>
            <w:tcW w:w="9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Notes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of $8.9 million.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under certain circumstances described below. The Convertible Notes are convertible into shares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can be repurchased for cash, or a combination thereof, at the Company’s election, at an initial conversion rate of 30.2151 shares of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the Convertible Notes, which is equivalent to an initial conversion price of approximately $33.096 per share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adjustment. The Company will pay interest on the Convertible Notes semi-annually in arrears on May 15 and November 15 of each year.</w:t>
      </w:r>
    </w:p>
    <w:p>
      <w:pPr>
        <w:spacing w:after="0" w:line="22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ended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6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the Company’s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the Company's common stock being exchanged.</w:t>
      </w:r>
    </w:p>
    <w:p>
      <w:pPr>
        <w:spacing w:after="0" w:line="16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June 30, 2023, the principal amount of convertible notes was $265.0 million, and the unamortized debt discount and issuance costs were $4.3 million, for a net carrying amount of $260.7 million.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$3.0 million and $6.1 million of interest expense during the three and six months ended June 30, 2023, respectively, and</w:t>
      </w:r>
    </w:p>
    <w:p>
      <w:pPr>
        <w:spacing w:after="0" w:line="10"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color w:val="auto"/>
        </w:rPr>
        <w:t>$3.1 million and $6.1 million of interest expense during the three and six months ended June 30, 2022, respectively, relating to the cash interest on the convertible notes due semi-annually and amortization of the debt issuance costs.</w:t>
      </w:r>
    </w:p>
    <w:p>
      <w:pPr>
        <w:spacing w:after="0" w:line="199"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As of June 30, 2023, no Convertible Notes were convertible pursuant to their terms. The estimated fair value of the Convertible Notes was $133.3 million as of June 30, 2023 and $145.9 million as of December 31, 2022. The estimated fair value of the Convertible Notes was determined through consideration of quoted market prices. As of June 30, 2023, the if-converted value of the Convertible Notes did not exceed the principal value of those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 Transactions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June 30, 2023 and December 31, 2022, the Company had not purchased any shares under the convertible note capped call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Forward</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June 30, 2023, 423,272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consist of the following (in thousands):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2,547</w:t>
            </w: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on convertible notes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5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accrued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Stock Option and Incentive Plan</w:t>
      </w:r>
    </w:p>
    <w:p>
      <w:pPr>
        <w:spacing w:after="0" w:line="21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unrestricted stock, cash-based awards, and dividend equivalent rights. Following the approval of the 2022 Plan, no further awards will be issued under the Company’s 2013 Stock Option and Incentive Plan (the “2013 Plan”). In June 2023, the Company's stockholders approved an amendment to the 2022 Plan, which increased the number of shares of common stock reserved for awards under the 2022 Plan to 10,650,000.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April 2020, the board of directors approved the Esperion Therapeutics, Inc. 2020 Employee Stock Purchase Plan (the "ESPP") which was approved by the Company's shareholders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In the three and six months ended June 30, 2023, the Company recognized</w:t>
      </w:r>
    </w:p>
    <w:p>
      <w:pPr>
        <w:spacing w:after="0" w:line="2"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$0.1 million and $0.2 million of stock compensation expense related to the ESPP, respectively. In the three and six months ended June 30, 2022, the Company recognized approximately $0.1 million and $0.2 million of stock compensation expense related to the ESPP, respectively. As of June 30, 2023, there have been 435,076 shares issued and 389,924 shares reserved for future issuance under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relating to the Company’s options to purchase common stock for the six months ended June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1"/>
              </w:rPr>
              <w:t>Exercise Price Per</w:t>
            </w:r>
          </w:p>
        </w:tc>
        <w:tc>
          <w:tcPr>
            <w:tcW w:w="12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Contractual Term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3,842,737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1,322,300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4,473,058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8"/>
                <w:szCs w:val="18"/>
                <w:color w:val="auto"/>
              </w:rPr>
              <w:t>Vested and expected to vest at June 30,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4,473,058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2,422,859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Stock-based compensation related to stock options was $1.0 million and $2.0 million for the three and six months ended June 30, 2023, respectively, including less than $0.1 million and $0.1 million that was capitalized into inventory, respectively, and $1.4 million and $2.9 million for the three and six months ended months ended June 30, 2022, respectively, including $0.1 million and $0.2 million that was capitalized into inventory, respectively. As of June 30, 2023, there was $8.3 million of unrecognized stock-based compensation expense related to unvested options, which will be recognized over a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Options ("PBSOs")</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2021, the Company granted PBSOs from the 2013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17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2022, the Company granted PBSOs from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relating to the Company’s PBSOs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9"/>
        </w:trPr>
        <w:tc>
          <w:tcPr>
            <w:tcW w:w="516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35"/>
              <w:spacing w:after="0" w:line="139" w:lineRule="exact"/>
              <w:rPr>
                <w:sz w:val="20"/>
                <w:szCs w:val="20"/>
                <w:color w:val="auto"/>
              </w:rPr>
            </w:pPr>
            <w:r>
              <w:rPr>
                <w:rFonts w:ascii="Arial" w:cs="Arial" w:eastAsia="Arial" w:hAnsi="Arial"/>
                <w:sz w:val="14"/>
                <w:szCs w:val="14"/>
                <w:b w:val="1"/>
                <w:bCs w:val="1"/>
                <w:color w:val="auto"/>
                <w:w w:val="93"/>
              </w:rPr>
              <w:t>Exercise Price Per</w:t>
            </w:r>
          </w:p>
        </w:tc>
        <w:tc>
          <w:tcPr>
            <w:tcW w:w="12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Contractual Term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June 30, 2023</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433,950</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6.72</w:t>
            </w:r>
          </w:p>
        </w:tc>
        <w:tc>
          <w:tcPr>
            <w:tcW w:w="1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8.61</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related to PBSOs was $0.2 million and $0.4 million for the three and six months ended June 30, 2023, respectively, and</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$0.1 million and $0.2 million for the three and six months ended June 30, 2022, respectively. As of June 30, 2023, there was approximately $0.8 million of unrecognized stock-based compensation expense related to unvested PBSOs, which will be recognized over a weighted-average period of approximately 1.0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(or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relating to the Company’s RSUs for the six months ended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6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unvested 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1,813,185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(387,295)</w:t>
            </w:r>
          </w:p>
        </w:tc>
        <w:tc>
          <w:tcPr>
            <w:tcW w:w="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unvested June 30,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3,036,244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Stock-based compensation related to RSUs was approximately $1.8 million and $3.3 million for the three and six months ended June 30, 2023, respectively, including less than $0.1 million and $0.1 million that was capitalized into inventory, respectively, and approximately $1.7 million and $3.6 million for the three and six months ended June 30, 2022, respectively, including $0.2 million and $0.3 million that was capitalized into inventory, respectively. As of June 30, 2023, there was $16.7 million of unrecognized stock-based compensation expense related to unvested RSUs, which will be recognized over a weighted-average period of 2.8 years.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 ("PBRSUs")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relating to the Company's PBRSUs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660" w:type="dxa"/>
            <w:vAlign w:val="bottom"/>
          </w:tcPr>
          <w:p>
            <w:pPr>
              <w:jc w:val="right"/>
              <w:ind w:right="4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Weighted-average fair</w:t>
            </w:r>
          </w:p>
        </w:tc>
      </w:tr>
      <w:tr>
        <w:trPr>
          <w:trHeight w:val="192"/>
        </w:trPr>
        <w:tc>
          <w:tcPr>
            <w:tcW w:w="7380" w:type="dxa"/>
            <w:vAlign w:val="bottom"/>
          </w:tcPr>
          <w:p>
            <w:pPr>
              <w:spacing w:after="0"/>
              <w:rPr>
                <w:sz w:val="16"/>
                <w:szCs w:val="16"/>
                <w:color w:val="auto"/>
              </w:rPr>
            </w:pPr>
          </w:p>
        </w:tc>
        <w:tc>
          <w:tcPr>
            <w:tcW w:w="16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PBRSUs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value per share</w:t>
            </w:r>
          </w:p>
        </w:tc>
      </w:tr>
      <w:tr>
        <w:trPr>
          <w:trHeight w:val="24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43"/>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(200,725)</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8.94</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unvested June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Stock-based compensation related to the PBRSUs was $0.1 million and $0.2 million for the three and six months ended June 30, 2023, respectively, including less than $0.1 million and less than $0.1 million that was capitalized into inventory, respectively, and $0.3 million and $1.1 million for the three and six months ended June 30, 2022, respectively, including less than $0.1 million and $0.1 million that was capitalized into inventory, respectively. As of June 30, 2023, there was approximately $0.6 million of unrecognized stock-based compensation expense related to unvested PBRSUs, which will be recognized over a weighted-average period of approximately 1.0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There was no provision for income taxes for the three and six months ended June 30, 2023 and 2022, because the Company has incurred annual operating losses since inception. At June 30, 2023,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Deficit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 April 15, 2022, the Company filed a new registration statement on Form S-3 to replace its prior automatically effective registration statement on Form S-3ASR filed on August 3, 2021, which registers the offering, issuance and sale of up to $239 million of common stock from time to time in “at-the-market” offerings (the “New ATM Program”). On February 21, 2023, the Company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(the "2023 ATM Program"), pursuant to its existing Form S-3 and the prospectus supplement filed on February 21, 2023. The Company may continue to use the 2023 ATM Program to address potential short-term or long-term funding requirements that may arise. Such program will continue to be subject to the volatility of the price of the Company's common stock and general market conditions. During the year ended December 31, 2022, the Company issued 13,043,797 shares of common stock resulting in net proceeds of approximately $90.8 million after deducting $3.1 million of underwriting discounts and commissions and other expenses, pursuant to the New ATM Program. During the three and six month periods ended June 30, 2023, the Company issued 3,312,908 shares of common stock resulting in net proceeds of approximately $4.4 million after deducting $0.4 million of underwriting discounts and commissions and other expenses, pursuant to the 2023 ATM Program.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an underwriting agreement with H.C. Wainwright &amp; Co., LLC ("Wainwright") on December 2, 2021, the Company issued warrants to purchase 36,964,286 shares of common stock at an exercise price of $9.00. The warrants will terminate on December 7, 2023. The warrants were recorded at fair value of $61.9 million to additional-paid-in-capital in accordance with ASC 815-10 based upon the allocation of the proceeds between the common shares issued with the Offering and the warrants.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 and Warrant Amendment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March 19, 2023, the Company entered into a Securities Purchase Agreement (the “Purchase Agreement”) with certain purchasers named therein (the “Purchasers”), pursuant to which the Company agreed to issue and sell, in a registered direct offering (the “Offering”), 12,205,000 shares of its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The warrants and pre-funded warrants were recorded at fair value of $22.8 million to additional-paid-in-capital in accordance with ASC 815-10 based upon the allocation of the proceeds between the common shares issued with the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 The Company estimated the fair value of the pre-funded warrants based on the market price of the Company's common stock at issuance.</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Offering, the Company amended, pursuant to Warrant Amendment Agreements (the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or September 22, 2026, for additional consideration of $0.125 per amended warrant. Based on the change in the fair value of the amended warrants, the Company recorded issuance costs to additional paid-in capital of $2.9 million.</w:t>
      </w:r>
    </w:p>
    <w:p>
      <w:pPr>
        <w:spacing w:after="0" w:line="21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 received gross proceeds of approximately $55.5 million from the Offering, before deducting placement agent fees and related offering expenses. The net proceeds to the Company from the Offering, after deducting the placement agent fees and expenses and the Company’s estimated offering expenses of $4.2 million, were approximately $51.3 million.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addition, the Company received approximately $1.2 million as the gross consideration in connection with the Warrant Amendment Agreements. The net proceeds of the Warrant Amendment Agreements after deducting placement fees of $0.1 million were approximately $1.1 million.</w:t>
      </w:r>
    </w:p>
    <w:p>
      <w:pPr>
        <w:spacing w:after="0" w:line="16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During the three and six months ended June 30, 2023, 10,098,747 shares of pre-funded warrants were exercised. The following table summarizes the warrants and pre-funded warrants outstanding for the Company as of June 30, 2023 and December 31, 2022:</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Warrants outstanding from 2021 agreement, expiring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-124460</wp:posOffset>
            </wp:positionV>
            <wp:extent cx="668655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86550" cy="154305"/>
                    </a:xfrm>
                    <a:prstGeom prst="rect">
                      <a:avLst/>
                    </a:prstGeom>
                    <a:noFill/>
                  </pic:spPr>
                </pic:pic>
              </a:graphicData>
            </a:graphic>
          </wp:anchor>
        </w:drawing>
      </w:r>
    </w:p>
    <w:p>
      <w:pPr>
        <w:spacing w:after="0" w:line="26" w:lineRule="exact"/>
        <w:rPr>
          <w:sz w:val="20"/>
          <w:szCs w:val="20"/>
          <w:color w:val="auto"/>
        </w:rPr>
      </w:pPr>
    </w:p>
    <w:p>
      <w:pPr>
        <w:ind w:left="700" w:right="160" w:hanging="323"/>
        <w:spacing w:after="0" w:line="234" w:lineRule="auto"/>
        <w:rPr>
          <w:sz w:val="20"/>
          <w:szCs w:val="20"/>
          <w:color w:val="auto"/>
        </w:rPr>
      </w:pPr>
      <w:r>
        <w:rPr>
          <w:rFonts w:ascii="Arial" w:cs="Arial" w:eastAsia="Arial" w:hAnsi="Arial"/>
          <w:sz w:val="18"/>
          <w:szCs w:val="18"/>
          <w:color w:val="auto"/>
        </w:rPr>
        <w:t>Warrants outstanding from Warrant Amendment Agreements, expiring September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wp:posOffset>
            </wp:positionV>
            <wp:extent cx="668655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0" cy="265430"/>
                    </a:xfrm>
                    <a:prstGeom prst="rect">
                      <a:avLst/>
                    </a:prstGeom>
                    <a:noFill/>
                  </pic:spPr>
                </pic:pic>
              </a:graphicData>
            </a:graphic>
          </wp:anchor>
        </w:drawing>
      </w:r>
    </w:p>
    <w:p>
      <w:pPr>
        <w:ind w:left="700" w:hanging="323"/>
        <w:spacing w:after="0" w:line="245" w:lineRule="auto"/>
        <w:rPr>
          <w:sz w:val="20"/>
          <w:szCs w:val="20"/>
          <w:color w:val="auto"/>
        </w:rPr>
      </w:pPr>
      <w:r>
        <w:rPr>
          <w:rFonts w:ascii="Arial" w:cs="Arial" w:eastAsia="Arial" w:hAnsi="Arial"/>
          <w:sz w:val="18"/>
          <w:szCs w:val="18"/>
          <w:color w:val="auto"/>
        </w:rPr>
        <w:t>Warrants outstanding from Purchase Agreement, expiring September 22, 2026</w:t>
      </w:r>
    </w:p>
    <w:p>
      <w:pPr>
        <w:spacing w:after="0" w:line="9" w:lineRule="exact"/>
        <w:rPr>
          <w:sz w:val="20"/>
          <w:szCs w:val="20"/>
          <w:color w:val="auto"/>
        </w:rPr>
      </w:pPr>
    </w:p>
    <w:p>
      <w:pPr>
        <w:ind w:left="380" w:right="1500"/>
        <w:spacing w:after="0" w:line="395" w:lineRule="auto"/>
        <w:rPr>
          <w:sz w:val="20"/>
          <w:szCs w:val="20"/>
          <w:color w:val="auto"/>
        </w:rPr>
      </w:pPr>
      <w:r>
        <w:rPr>
          <w:rFonts w:ascii="Arial" w:cs="Arial" w:eastAsia="Arial" w:hAnsi="Arial"/>
          <w:sz w:val="16"/>
          <w:szCs w:val="16"/>
          <w:color w:val="auto"/>
        </w:rPr>
        <w:t>Pre-funded warrants outstanding, no expiration date Total warrants and pre-funded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-237490</wp:posOffset>
            </wp:positionV>
            <wp:extent cx="66865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December 31, 2022</w:t>
            </w:r>
          </w:p>
        </w:tc>
        <w:tc>
          <w:tcPr>
            <w:tcW w:w="1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Weighted average</w:t>
            </w:r>
          </w:p>
        </w:tc>
        <w:tc>
          <w:tcPr>
            <w:tcW w:w="0" w:type="dxa"/>
            <w:vAlign w:val="bottom"/>
          </w:tcPr>
          <w:p>
            <w:pPr>
              <w:spacing w:after="0"/>
              <w:rPr>
                <w:sz w:val="1"/>
                <w:szCs w:val="1"/>
                <w:color w:val="auto"/>
              </w:rPr>
            </w:pPr>
          </w:p>
        </w:tc>
      </w:tr>
      <w:tr>
        <w:trPr>
          <w:trHeight w:val="239"/>
        </w:trPr>
        <w:tc>
          <w:tcPr>
            <w:tcW w:w="15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28"/>
        </w:trPr>
        <w:tc>
          <w:tcPr>
            <w:tcW w:w="1520" w:type="dxa"/>
            <w:vAlign w:val="bottom"/>
          </w:tcPr>
          <w:p>
            <w:pPr>
              <w:jc w:val="right"/>
              <w:spacing w:after="0"/>
              <w:rPr>
                <w:sz w:val="20"/>
                <w:szCs w:val="20"/>
                <w:color w:val="auto"/>
              </w:rPr>
            </w:pPr>
            <w:r>
              <w:rPr>
                <w:rFonts w:ascii="Arial" w:cs="Arial" w:eastAsia="Arial" w:hAnsi="Arial"/>
                <w:sz w:val="18"/>
                <w:szCs w:val="18"/>
                <w:color w:val="auto"/>
              </w:rPr>
              <w:t>27,940,074</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36,964,286</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404"/>
        </w:trPr>
        <w:tc>
          <w:tcPr>
            <w:tcW w:w="1520" w:type="dxa"/>
            <w:vAlign w:val="bottom"/>
          </w:tcPr>
          <w:p>
            <w:pPr>
              <w:jc w:val="right"/>
              <w:spacing w:after="0"/>
              <w:rPr>
                <w:sz w:val="20"/>
                <w:szCs w:val="20"/>
                <w:color w:val="auto"/>
              </w:rPr>
            </w:pPr>
            <w:r>
              <w:rPr>
                <w:rFonts w:ascii="Arial" w:cs="Arial" w:eastAsia="Arial" w:hAnsi="Arial"/>
                <w:sz w:val="18"/>
                <w:szCs w:val="18"/>
                <w:color w:val="auto"/>
              </w:rPr>
              <w:t>9,024,212</w:t>
            </w: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418"/>
        </w:trPr>
        <w:tc>
          <w:tcPr>
            <w:tcW w:w="1520" w:type="dxa"/>
            <w:vAlign w:val="bottom"/>
          </w:tcPr>
          <w:p>
            <w:pPr>
              <w:jc w:val="right"/>
              <w:spacing w:after="0"/>
              <w:rPr>
                <w:sz w:val="20"/>
                <w:szCs w:val="20"/>
                <w:color w:val="auto"/>
              </w:rPr>
            </w:pPr>
            <w:r>
              <w:rPr>
                <w:rFonts w:ascii="Arial" w:cs="Arial" w:eastAsia="Arial" w:hAnsi="Arial"/>
                <w:sz w:val="18"/>
                <w:szCs w:val="18"/>
                <w:color w:val="auto"/>
              </w:rPr>
              <w:t>33,170,747</w:t>
            </w: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10,867,000</w:t>
            </w:r>
          </w:p>
        </w:tc>
        <w:tc>
          <w:tcPr>
            <w:tcW w:w="16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23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81,002,033</w:t>
            </w:r>
          </w:p>
        </w:tc>
        <w:tc>
          <w:tcPr>
            <w:tcW w:w="16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36,964,286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ectPr>
          <w:pgSz w:w="11900" w:h="16838" w:orient="portrait"/>
          <w:cols w:equalWidth="0" w:num="2">
            <w:col w:w="5600" w:space="400"/>
            <w:col w:w="5140"/>
          </w:cols>
          <w:pgMar w:left="320" w:top="125" w:right="4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2023, in July 2023, pre-funded warrants for 4,544,000 shares were exercised.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Common Share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shares outstanding at the end of the respective periods presented below were excluded from the calculation of diluted net loss per share due to their anti-dilutive effect:</w:t>
      </w:r>
    </w:p>
    <w:p>
      <w:pPr>
        <w:spacing w:after="0" w:line="9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2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Three and Six Months Ended June 30,</w:t>
            </w:r>
          </w:p>
        </w:tc>
      </w:tr>
      <w:tr>
        <w:trPr>
          <w:trHeight w:val="203"/>
        </w:trPr>
        <w:tc>
          <w:tcPr>
            <w:tcW w:w="4740" w:type="dxa"/>
            <w:vAlign w:val="bottom"/>
          </w:tcPr>
          <w:p>
            <w:pPr>
              <w:spacing w:after="0"/>
              <w:rPr>
                <w:sz w:val="17"/>
                <w:szCs w:val="17"/>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70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2022</w:t>
            </w:r>
          </w:p>
        </w:tc>
      </w:tr>
      <w:tr>
        <w:trPr>
          <w:trHeight w:val="25"/>
        </w:trPr>
        <w:tc>
          <w:tcPr>
            <w:tcW w:w="4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under option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4,473,058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4,067,160</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Common shares under PBSOs</w:t>
            </w:r>
          </w:p>
        </w:tc>
        <w:tc>
          <w:tcPr>
            <w:tcW w:w="1560" w:type="dxa"/>
            <w:vAlign w:val="bottom"/>
          </w:tcPr>
          <w:p>
            <w:pPr>
              <w:jc w:val="right"/>
              <w:spacing w:after="0"/>
              <w:rPr>
                <w:sz w:val="20"/>
                <w:szCs w:val="20"/>
                <w:color w:val="auto"/>
              </w:rPr>
            </w:pPr>
            <w:r>
              <w:rPr>
                <w:rFonts w:ascii="Arial" w:cs="Arial" w:eastAsia="Arial" w:hAnsi="Arial"/>
                <w:sz w:val="18"/>
                <w:szCs w:val="18"/>
                <w:color w:val="auto"/>
              </w:rPr>
              <w:t>433,950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499,200</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3,036,244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1,721,725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Unvested PBRSUs</w:t>
            </w:r>
          </w:p>
        </w:tc>
        <w:tc>
          <w:tcPr>
            <w:tcW w:w="1560" w:type="dxa"/>
            <w:vAlign w:val="bottom"/>
          </w:tcPr>
          <w:p>
            <w:pPr>
              <w:jc w:val="right"/>
              <w:spacing w:after="0"/>
              <w:rPr>
                <w:sz w:val="20"/>
                <w:szCs w:val="20"/>
                <w:color w:val="auto"/>
              </w:rPr>
            </w:pPr>
            <w:r>
              <w:rPr>
                <w:rFonts w:ascii="Arial" w:cs="Arial" w:eastAsia="Arial" w:hAnsi="Arial"/>
                <w:sz w:val="18"/>
                <w:szCs w:val="18"/>
                <w:color w:val="auto"/>
              </w:rPr>
              <w:t>188,275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506,550</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related to the ESPP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76,284</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Shares issuable upon conversion of convertible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8,007,010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8,007,010</w:t>
            </w: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70,135,033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36,964,286</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86,332,196</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51,842,215</w:t>
            </w:r>
          </w:p>
        </w:tc>
      </w:tr>
      <w:tr>
        <w:trPr>
          <w:trHeight w:val="20"/>
        </w:trPr>
        <w:tc>
          <w:tcPr>
            <w:tcW w:w="4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Statements of Cash Flows and Restricted Cash</w:t>
      </w:r>
    </w:p>
    <w:p>
      <w:pPr>
        <w:spacing w:after="0" w:line="256"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following table provides a reconciliation of cash and cash equivalents and restricted cash presented on the balance sheets to the same amounts presented on the statements of cash flows on June 30, 2023 and 2022 and December 31, 2022 and 2021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208,892</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69"/>
        </w:trPr>
        <w:tc>
          <w:tcPr>
            <w:tcW w:w="45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1"/>
              </w:rPr>
              <w:t>Total cash and cash equivalents and restricted cash shown on</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138,470</w:t>
            </w:r>
          </w:p>
        </w:tc>
        <w:tc>
          <w:tcPr>
            <w:tcW w:w="3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172,940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124,775</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258,892</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the condensed statements of cash flows</w:t>
            </w:r>
          </w:p>
        </w:tc>
        <w:tc>
          <w:tcPr>
            <w:tcW w:w="2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On July 6, 2023, the Company provided notice to Serometrix of its intent to terminate the licensing agreement between the Company and Serometrix dated</w:t>
      </w:r>
    </w:p>
    <w:p>
      <w:pPr>
        <w:spacing w:after="0" w:line="5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December 3, 2020. The agreement, which related to the in-license of a series of early stage compounds known as scaffolds related to its oral, small molecule PCSK9 inhibitor program, will terminate as of August 5, 2023. The Company expects to continue to advance its internal pipeline assets, including next-generation ACLY inhibitors and oral PCSK-9 inhibitor scaffolds.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2022 and other filings that we make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approval of expanded indications for bempedoic acid and the bempedoic acid / ezetimibe combination tablet and expectations regarding future transactions to further improve our balance sheet to be materially different from any future results, performance or achievements, including in relation to the clinical development, commercialization plans, or approval of expanded indications for bempedoic acid and the bempedoic acid / ezetimibe combination tablet, clinical activities and commercial development plans, expressed or implied by these forward-looking statements.</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7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i w:val="1"/>
          <w:iCs w:val="1"/>
          <w:color w:val="auto"/>
        </w:rPr>
        <w:t>The forward-looking statements in this report represent our views as of the date of this quarterly report. Except as required by law, we undertake no obligation to update any forward-looking statements to reflect events or circumstances after the date of such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use the terms “we,” “us,” “our,” or the "Company” in this report to refer to Esperion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Overview</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are a pharmaceutical company focused on developing and commercializing accessible, oral, once-daily, non-statin medicines for patients struggling with elevated low-density lipoprotein cholesterol, or LDL-C. Through commercial execution and completion of our CLEAR Outcomes trial as well as advancing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w:t>
      </w:r>
    </w:p>
    <w:p>
      <w:pPr>
        <w:spacing w:after="0" w:line="217"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 xml:space="preserve">We recently completed a global cardiovascular outcomes trial, or CVOT — known as </w:t>
      </w:r>
      <w:r>
        <w:rPr>
          <w:rFonts w:ascii="Arial" w:cs="Arial" w:eastAsia="Arial" w:hAnsi="Arial"/>
          <w:sz w:val="17"/>
          <w:szCs w:val="17"/>
          <w:b w:val="1"/>
          <w:bCs w:val="1"/>
          <w:color w:val="auto"/>
        </w:rPr>
        <w:t>C</w:t>
      </w:r>
      <w:r>
        <w:rPr>
          <w:rFonts w:ascii="Arial" w:cs="Arial" w:eastAsia="Arial" w:hAnsi="Arial"/>
          <w:sz w:val="17"/>
          <w:szCs w:val="17"/>
          <w:color w:val="auto"/>
        </w:rPr>
        <w:t xml:space="preserve">holesterol </w:t>
      </w:r>
      <w:r>
        <w:rPr>
          <w:rFonts w:ascii="Arial" w:cs="Arial" w:eastAsia="Arial" w:hAnsi="Arial"/>
          <w:sz w:val="17"/>
          <w:szCs w:val="17"/>
          <w:b w:val="1"/>
          <w:bCs w:val="1"/>
          <w:color w:val="auto"/>
        </w:rPr>
        <w:t>L</w:t>
      </w:r>
      <w:r>
        <w:rPr>
          <w:rFonts w:ascii="Arial" w:cs="Arial" w:eastAsia="Arial" w:hAnsi="Arial"/>
          <w:sz w:val="17"/>
          <w:szCs w:val="17"/>
          <w:color w:val="auto"/>
        </w:rPr>
        <w:t>owering via B</w:t>
      </w:r>
      <w:r>
        <w:rPr>
          <w:rFonts w:ascii="Arial" w:cs="Arial" w:eastAsia="Arial" w:hAnsi="Arial"/>
          <w:sz w:val="17"/>
          <w:szCs w:val="17"/>
          <w:b w:val="1"/>
          <w:bCs w:val="1"/>
          <w:color w:val="auto"/>
        </w:rPr>
        <w:t>E</w:t>
      </w:r>
      <w:r>
        <w:rPr>
          <w:rFonts w:ascii="Arial" w:cs="Arial" w:eastAsia="Arial" w:hAnsi="Arial"/>
          <w:sz w:val="17"/>
          <w:szCs w:val="17"/>
          <w:color w:val="auto"/>
        </w:rPr>
        <w:t xml:space="preserve">mpedoic Acid, an </w:t>
      </w:r>
      <w:r>
        <w:rPr>
          <w:rFonts w:ascii="Arial" w:cs="Arial" w:eastAsia="Arial" w:hAnsi="Arial"/>
          <w:sz w:val="17"/>
          <w:szCs w:val="17"/>
          <w:b w:val="1"/>
          <w:bCs w:val="1"/>
          <w:color w:val="auto"/>
        </w:rPr>
        <w:t>A</w:t>
      </w:r>
      <w:r>
        <w:rPr>
          <w:rFonts w:ascii="Arial" w:cs="Arial" w:eastAsia="Arial" w:hAnsi="Arial"/>
          <w:sz w:val="17"/>
          <w:szCs w:val="17"/>
          <w:color w:val="auto"/>
        </w:rPr>
        <w:t xml:space="preserve">CL-inhibiting </w:t>
      </w:r>
      <w:r>
        <w:rPr>
          <w:rFonts w:ascii="Arial" w:cs="Arial" w:eastAsia="Arial" w:hAnsi="Arial"/>
          <w:sz w:val="17"/>
          <w:szCs w:val="17"/>
          <w:b w:val="1"/>
          <w:bCs w:val="1"/>
          <w:color w:val="auto"/>
        </w:rPr>
        <w:t>R</w:t>
      </w:r>
      <w:r>
        <w:rPr>
          <w:rFonts w:ascii="Arial" w:cs="Arial" w:eastAsia="Arial" w:hAnsi="Arial"/>
          <w:sz w:val="17"/>
          <w:szCs w:val="17"/>
          <w:color w:val="auto"/>
        </w:rPr>
        <w:t>egimen (CLEAR) Outcomes. The trial was designed to evaluate whether treatment with bempedoic acid reduced the risk of cardiovascular events in</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who are statin averse and who have CVD or are at high risk for CVD. We initiated the CLEAR Outcomes CVOT in December 2016 and fully enrolled the study with over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once the predetermined number of MACE endpoints occurred. On December 7, 2022, we announced that the study had met its primary endpoint.</w:t>
      </w:r>
    </w:p>
    <w:p>
      <w:pPr>
        <w:spacing w:after="0" w:line="250"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On March 4, 2023, we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and NEXLIZET® (bempedoic acid and ezetimibe) tablets, now becomes the first LDL-C lowering therapy since statins proven to lower hard ischemic events, not only in those with ASCVD but also in the large number of primary prevention patients for whom limited therapies exist.</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On March 19, 2023, we entered into a Securities Purchase Agreement, or the Purchase Agreement, with certain purchasers named therein, or the Purchasers, pursuant to which we agreed to issue and sell, in a registered direct offering, or the Offering, 12,205,000 shares of our common stock, par value $0.001 per share, or the Common Stock, pre-funded warrants to purchase up to an aggregate of 20,965,747 shares of Common Stock, or the Pre-Funded Warrants, in lieu of shares of Common Stock, and warrants to purchase up to 33,170,747 shares of Common Stock, or the Warrants.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Purchase Agreement contains customary representations, warranties, covenants and indemnification rights and obligations of the Company and the Purchasers. The Offering closed on March 22, 2023. In connection with the Offering, we amended, pursuant to Warrant Amendment Agreements, or the Warrant Amendment Agreements, certain existing warrants to purchase up to an aggregate of 9,024,212 shares of our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gross proceeds of approximately $55.5 million from the Offering, before deducting placement agent fees and related offering expenses. The net proceeds from the Offering, after deducting the placement agent fees and expenses and the Company’s estimated offering expenses, are approximately $51.3 million. In addition, we received approximately $1.2 million as the gross consideration in connection with the Warrant Amendment Agreements. The net proceeds of the Warrant Amendment Agreements after deducting placement fees were approximately $1.1 million. Refer to Note 13 "Stockholders' Deficit" in our condensed financial statements included in this Form 10-Q for the quarter ended June 30, 2023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 June 1, 2023, we announced that we submitted Supplemental New Drug Applications, or sNDAs, to the FDA seeking to add the use of both NEXLETOL and NEXLIZET for cardiovascular risk reduction and also seeking to remove the statin limitation in the LDL-C indication. We anticipate FDA approval of the sNDAs in the first half of 2024. On June 28, 2023, we announced that the application was filed for a Type II(a) variation with the EMA for our oral non-statin products marketed as NILEMDO® (bempedoic acid) tablets and NUSTENDI® (bempedoic acid and ezetimibe) tablets in Europe. The application asks EMA to approve both NILEMDO and NUSTENDI to reduce cardiovascular risk in patients with or at high risk for atherosclerotic cardiovascular disease. We anticipate EMA approval in the first half of 2024.</w:t>
      </w:r>
    </w:p>
    <w:p>
      <w:pPr>
        <w:spacing w:after="0" w:line="2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Based on the terms of the contract with Daiichi Sankyo Europe GmbH, or DSE, we are eligible for partner milestone payments upon inclusion of cardiovascular risk reduction data in the EU label, for which payment is tied to the magnitude of the cardiovascular risk percentage reduction included in the label (among other requirements) and ranges from $200 million to $300 million. Based on the CLEAR Outcomes data, we believe we would be entitled to receive $300 million in partner milestone payments upon inclusion of cardiovascular risk reduction data in the EU label.</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DSE has conveyed that it disagrees with our assessment that the CLEAR Outcomes data would support our right to receive any milestone payments upon inclusion of certain required cardiovascular risk reduction data in the EU label. 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On May 4, 2023, we filed an amended complaint against DSE in the Southern District of New York. The complaint seeks a judicial declaration, on an expedited basis, that DSE is contractually required to make a $300 million milestone payment to Esperion upon applicable regulatory approval. On June 20, 2023, DSE filed a response to the amended complaint. Refer to Note 5 "Commitments and Contingencies" in our condensed financial statements included in this Form 10-Q for the quarter ended June 30, 2023 for further information.</w:t>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Even if we are successful in enforcing our rights, there could be a delay in our receipt of the milestone payments as a result of any dispute relating to such payments. Any failure to receive or any delay in receipt of the milestone payments may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significantly impact our future capital needs, ability to recognize revenue for the milestone upon inclusion of cardiovascular risk reduction data in the EU label, and ability to fund operations.</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combination tablet. In February 2020, the FDA approved NEXLETOL and NEXLIZET. NEXLETOL was commercially available in the U.S. on March 30, 2020 and NEXLIZET was commercially available in the U.S. on June 4, 2020. We have funded our operations to date primarily through proceeds from sales of preferred stock, convertible promissory notes, warrants and pre-funded warrants, public offerings of common stock, the incurrence of indebtedness, through collaborations with third parties and revenue interest purchase agreements, and we have incurred losses in each year since our inception.</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never been profitable and our net losses were $49.9 million and $111.7 million for the three and six months ended June 30, 2023, respectively, and $66.3 million and $123.1 million for the three and six months ended June 30, 2022, respectively.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spacing w:after="0" w:line="19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commercializing NEXLETOL and NEXLIZET in the U.S;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pursuing other research and development activities.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Overview</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NILEMDO is a first-in-class ACL inhibitor that lowers LDL-C by reducing cholesterol biosynthesis and up-regulating the LDL receptors. NILEMDO was approved by the European Commission, or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six months ended June 30, 2023, we incurred $35.5 million in expenses related to our CLEAR Outcomes CVOT and other ongoing clinical studies.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six months ended June 30, 2022, we incurred $39.7 million in expenses related to our CLEAR Outcomes CVOT and other ongoing clinical studies.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Collaboration revenue is related to our collaboration agreements with DSE, Otsuka Pharmaceutical Co., Ltd., or Otsuka, and Daiichi Sankyo Co. Ltd, or DS. Collaboration revenue in the three and six months ended June 30, 2023 and June 30, 2022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Cost of goods sold is related to our net product sales of NEXLETOL and NEXLIZET and the cost of goods sold from our supply agreements with collaboration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research and development expenses consist primarily of costs incurred in connection with the development of bempedoic acid and the bempedoic acid</w:t>
      </w:r>
    </w:p>
    <w:p>
      <w:pPr>
        <w:spacing w:after="0" w:line="46" w:lineRule="exact"/>
        <w:rPr>
          <w:sz w:val="20"/>
          <w:szCs w:val="20"/>
          <w:color w:val="auto"/>
        </w:rPr>
      </w:pPr>
    </w:p>
    <w:p>
      <w:pPr>
        <w:ind w:left="100" w:hanging="92"/>
        <w:spacing w:after="0"/>
        <w:tabs>
          <w:tab w:leader="none" w:pos="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ezetimibe combination tablet, which include:</w:t>
      </w:r>
    </w:p>
    <w:p>
      <w:pPr>
        <w:spacing w:after="0" w:line="21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contract research organizations, or CROs, and investigative sites that conduct our preclinical and clinical studies;</w:t>
      </w:r>
    </w:p>
    <w:p>
      <w:pPr>
        <w:spacing w:after="0" w:line="170" w:lineRule="exact"/>
        <w:rPr>
          <w:rFonts w:ascii="Arial" w:cs="Arial" w:eastAsia="Arial" w:hAnsi="Arial"/>
          <w:sz w:val="18"/>
          <w:szCs w:val="18"/>
          <w:color w:val="auto"/>
        </w:rPr>
      </w:pPr>
    </w:p>
    <w:p>
      <w:pPr>
        <w:ind w:left="1300" w:right="14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stock-based compensation and travel expenses;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allocated expenses for rent and maintenance of facilities, insurance and other supplies;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will continue to incur research and development expenses as they relate to other development programs or additional indications we choose to pursue. We expect research and development expenses to decrease in the second half of 2023 after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having reported the full results of the CLEAR Outcomes CVOT and submitting regulatory filings to the FDA and EMA in the first half of 2023. We cannot determine with certainty the duration and completion costs associated with the ongoing or future clinical studies of bempedoic acid and the bempedoic acid</w:t>
      </w:r>
    </w:p>
    <w:p>
      <w:pPr>
        <w:ind w:right="120" w:firstLine="8"/>
        <w:spacing w:after="0" w:line="290" w:lineRule="auto"/>
        <w:tabs>
          <w:tab w:leader="none" w:pos="95" w:val="left"/>
        </w:tabs>
        <w:numPr>
          <w:ilvl w:val="0"/>
          <w:numId w:val="9"/>
        </w:numPr>
        <w:rPr>
          <w:rFonts w:ascii="Arial" w:cs="Arial" w:eastAsia="Arial" w:hAnsi="Arial"/>
          <w:sz w:val="16"/>
          <w:szCs w:val="16"/>
          <w:color w:val="auto"/>
        </w:rPr>
      </w:pPr>
      <w:r>
        <w:rPr>
          <w:rFonts w:ascii="Arial" w:cs="Arial" w:eastAsia="Arial" w:hAnsi="Arial"/>
          <w:sz w:val="16"/>
          <w:szCs w:val="16"/>
          <w:color w:val="auto"/>
        </w:rPr>
        <w:t>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 anticipate that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73" w:lineRule="exact"/>
        <w:rPr>
          <w:sz w:val="20"/>
          <w:szCs w:val="20"/>
          <w:color w:val="auto"/>
        </w:rPr>
      </w:pPr>
    </w:p>
    <w:p>
      <w:pPr>
        <w:ind w:right="680"/>
        <w:spacing w:after="0" w:line="307" w:lineRule="auto"/>
        <w:rPr>
          <w:sz w:val="20"/>
          <w:szCs w:val="20"/>
          <w:color w:val="auto"/>
        </w:rPr>
      </w:pPr>
      <w:r>
        <w:rPr>
          <w:rFonts w:ascii="Arial" w:cs="Arial" w:eastAsia="Arial" w:hAnsi="Arial"/>
          <w:sz w:val="16"/>
          <w:szCs w:val="16"/>
          <w:color w:val="auto"/>
        </w:rPr>
        <w:t>We expect our selling, general and administrative expenses will increase at the end of 2023 in anticipation of potential additional global regulatory approvals for new product indications, expanded commercialization initiatives for NEXLETOL and NEXLIZET and increases in our headcount.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is related to our Revenue Interest Purchase Agreement, or RIPA, with Eiger III SA LLC, or Oberland, an affiliate of Oberland Capital and our convertible notes issued in November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income, net, primarily relates to interest income and the accretion or amortization of premiums and discounts earned on our cash, cash equivalents and investment securities and also includes other income related to the sale of lease vehicles.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is based on our financial statements, which have been prepared in accordance with generally accepted accounting principles in the United States of America.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our Annual Report on Form 10-K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6"/>
        </w:trPr>
        <w:tc>
          <w:tcPr>
            <w:tcW w:w="68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Change</w:t>
            </w:r>
          </w:p>
        </w:tc>
      </w:tr>
      <w:tr>
        <w:trPr>
          <w:trHeight w:val="194"/>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(unaudited,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8"/>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20,293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13,578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6,715</w:t>
            </w: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37"/>
        </w:trPr>
        <w:tc>
          <w:tcPr>
            <w:tcW w:w="68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(10,333)</w:t>
            </w:r>
          </w:p>
        </w:tc>
      </w:tr>
      <w:tr>
        <w:trPr>
          <w:trHeight w:val="23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33,959</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(37,058)</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15,318</w:t>
            </w:r>
          </w:p>
        </w:tc>
      </w:tr>
      <w:tr>
        <w:trPr>
          <w:trHeight w:val="237"/>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(49,935)</w:t>
            </w: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Product sales, net for the three months ended June 30, 2023 was $20.3 million compared to $13.6 million for the three months ended June 30, 2022, an increase of $6.7 million. The increase is primarily due to prescription growth of NEXLETOL and NEXLIZET since the second quarter of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Collaboration revenue recognized from our collaboration agreements for the three months ended June 30, 2023 was $5.5 million compared to $5.3 million for the three months ended June 30, 2022, an increase of $0.2 million. The increase is primarily due to royalty sales growth within our partner territories, partially offset by decreased product sales to our collaboration partners from our supply agreements due to timing of shipments of tablet supply to our partner.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Cost of goods sold for the three months ended June 30, 2023 was $6.8 million compared to $9.2 million for the three months ended June 30, 2022, a decrease of $2.4 million. The decrease is primarily related to decreased product sales to our collaboration partners from our supply agreements in the three months ended June 30, 2023 compared to the three months ended June 30, 2022 due to timing of shipments of tablet supply to our partner.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Research and development expenses for the three months ended June 30, 2023, were $22.1 million, compared to $32.4 million for the three months ended June 30, 2022, a decrease of $10.3 million. The decrease in research and development expenses was primarily attributable to a decrease in costs related to our CLEAR Outcomes study following the announcement and presentation of our CLEAR Outcomes study results. Costs incurred in the three months ended June 30, 2023 included CLEAR Outcomes close-out activities and regulatory submissions.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Selling, general and administrative expenses for the three months ended June 30, 2023, were $34.0 million, compared to $29.6 million for the three months ended June 30, 2022, an increase of $4.4 million. The increase in selling, general and administrative expenses was primarily attributable to upfront training for our contract sales force and increased legal costs.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Interest expense for the three months ended June 30, 2023, was $14.5 million, compared to $14.3 million for the three months ended June 30, 2022, an increase of approximately $0.2 million. The increase in interest expense was primarily due to additional interest expense attributable to our RIPA with Oberland.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Other income, net for the three months ended June 30, 2023, was $1.7 million, compared to $0.3 million for the three months ended June 30, 2022, an increase of approximately $1.4 million. The increase in other income, net was primarily due to higher interest income on our investments due to higher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(unaudited,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2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37,324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53,480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63,860</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37"/>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(85,663)</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57"/>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(123,055)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Product sales, net for the six months ended June 30, 2023 was $37.3 million compared to $26.9 million for the six months ended June 30, 2022, an increase of $10.4 million. The increase is primarily due to prescription growth of NEXLETOL and NEXLIZET since the first half of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Collaboration revenue recognized from our collaboration agreements for the six months ended June 30, 2023 was $12.8 million compared to $10.7 million for the six months ended June 30, 2022, an increase of approximately $2.1 million. The increase is primarily due to increased royalty sales growth within our partner territories.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Cost of goods sold for the six months ended June 30, 2023 was $18.4 million compared to $16.3 million for the six months ended June 30, 2022, an increase of $2.1 million. The increase is primarily related to increased net product sales of NEXLETOL and NEXLIZET.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expenses for the six months ended June 30, 2023, were $53.5 million, compared to $56.8 million for the six months ended June 30, 2022, a decrease of $3.3 million. The decrease in research and development expenses was primarily attributable to a decrease in costs related to our CLEAR Outcomes study following the announcement and presentation of our CLEAR Outcomes study results in March 2023. Costs incurred in the six months ended June 30, 2023 included the announcement and presentation of our CLEAR Outcomes study results, associated close-out activities and regulatory submissions.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Selling, general and administrative expenses for the six months ended June 30, 2023, were $63.9 million, compared to $60.0 million for the six months ended June 30, 2022, an increase of $3.9 million. The increase in selling, general and administrative expenses was primarily attributable to increases in the upfront training for our contract sales force and increased legal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Interest expense for the six months ended June 30, 2023, was $28.9 million, compared to $28.3 million for the six months ended June 30, 2022, an increase of $0.6 million. The increase in interest expense was primarily due to additional interest expense attributable to our RIPA with Oberland.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Other income, net for the six months ended June 30, 2023, was $2.9 million, compared to $0.6 million for the six months ended June 30, 2022, an increase of $2.3 million. The increase in other income, net was primarily due to higher interest income on our investments due to higher interest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While we began to generate revenue from the sales of our products in 2020, we have funded our operations to date primarily through proceeds from sales of preferred stock, convertible promissory notes and warrants, public offerings of common stock, warrants and pre-funded warrants, the incurrence of indebtedness, milestone payments from collaboration agreements and our revenue interest purchase agreement. Pursuant to the license and collaboration agreements with Daiichi Sankyo and Otsuka, we are eligible for substantial additional sales and regulatory milestone payments and royalties. Pursuant to the license and collaboration agreements entered into April 2021 with Daiichi Sankyo, we are eligible for substantial additional sales milestone payments and royalties.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filed on February 21, 2023. During the three and six month periods ended June 30, 2023, we issued 3,312,908 shares of common stock resulting in net proceeds of approximately $4.4 million after deducting $0.4 million of underwriting discounts and commissions and other expenses, pursuant to the 2023 ATM Program. We may continue to use the 2023 ATM program or issue stock through other capital markets to address potential funding requirements. On March 19, 2023, we entered into a Securities Purchase Agreement, pursuant to which we agreed to issue and sell, in a registered direct offering, shares of common stock, pre-funded warrants, and warrants to purchase common stock. In connection with the Securities Purchase Agreement, we amended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net proceeds of approximately $51.3 million related to the offering and approximately $1.1 million in connection with the amended warrants. We anticipate that we will incur losses for the foreseeable future as we continue to incur substantial expenses related to the ongoing</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commercialization of NEXLETOL and NEXLIZET and expenses associated with our research and development activities. We anticipate that our current cash, cash equivalents, investments, expected future net product sales of NEXLETOL and NEXLIZET, and expected future revenue under our collaboration agreements is sufficient to fund continuing operations for the foreseeable future.</w:t>
      </w:r>
    </w:p>
    <w:p>
      <w:pPr>
        <w:spacing w:after="0" w:line="2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2023, our primary sources of liquidity were our cash and cash equivalents which totaled $138.5 million. We invest our cash equivalents and investments in highly liquid, interest-bearing investment-grade securities and government securities to preserve principal.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the periods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28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Pr>
          <w:p>
            <w:pPr>
              <w:spacing w:after="0"/>
              <w:rPr>
                <w:sz w:val="16"/>
                <w:szCs w:val="16"/>
                <w:color w:val="auto"/>
              </w:rPr>
            </w:pPr>
          </w:p>
        </w:tc>
      </w:tr>
      <w:tr>
        <w:trPr>
          <w:trHeight w:val="26"/>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1"/>
        </w:trPr>
        <w:tc>
          <w:tcPr>
            <w:tcW w:w="75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r>
      <w:tr>
        <w:trPr>
          <w:trHeight w:val="189"/>
        </w:trPr>
        <w:tc>
          <w:tcPr>
            <w:tcW w:w="7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6"/>
                <w:szCs w:val="16"/>
                <w:color w:val="auto"/>
              </w:rPr>
            </w:pPr>
          </w:p>
        </w:tc>
      </w:tr>
      <w:tr>
        <w:trPr>
          <w:trHeight w:val="238"/>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(79,106)</w:t>
            </w:r>
          </w:p>
        </w:tc>
        <w:tc>
          <w:tcPr>
            <w:tcW w:w="11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(89,522)</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42,500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(13,102)</w:t>
            </w:r>
          </w:p>
        </w:tc>
      </w:tr>
      <w:tr>
        <w:trPr>
          <w:trHeight w:val="23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50,301</w:t>
            </w:r>
          </w:p>
        </w:tc>
        <w:tc>
          <w:tcPr>
            <w:tcW w:w="10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16,672</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13,695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(85,952)</w:t>
            </w:r>
          </w:p>
        </w:tc>
      </w:tr>
      <w:tr>
        <w:trPr>
          <w:trHeight w:val="21"/>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Net cash used in operating activities totaled $79.1 million for the six months ended June 30, 2023, compared to $89.5 million for the six months ended June 30, 2022. Net cash used for the six months ended June 30, 2023 and 2022 consisted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provided by investing activities of $42.5 million for the six months ended June 30, 2023 consisted of proceeds from the sales of highly liquid, interest bearing investment grade and government securities. Net cash used in investing activities of $13.1 million for the six months ended June 30, 2022 consisted of purchases of highly liquid, interest bearing investment grade and government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financing activities of $50.3 million for the six months ended June 30, 2023 related primarily to proceeds from our registered direct offering and net proceeds from our 2023 ATM Program, partially offset by payments on our revenue interest liability. Net cash provided by financing activities of $16.7 million for the six months ended June 30, 2022 related primarily to proceeds from our ATM program, partially offset by payments on our revenue interest liability.</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April 15, 2022, we filed a new registration statement on Form S-3, which registers the offering, issuance and sale of up to $239 million of common stock from time to time in “at-the-market” offerings, or the New ATM Program. During the year ended December 31, 2022, we issued 13,043,797 shares of common stock, resulting in net proceeds of approximately $90.8 million after deducting $3.1 million of underwriting discounts and commissions and other expenses, pursuant to the New ATM Program. On February 21, 2023, we terminated the open market sales agreement with Jefferies LLC and entered into a Controlled Equity Offering Sales Agreement with Cantor Fitzgerald &amp; Co., as sales agent, to provide for the issuance and sale by the Company of up to $70 million of common stock from time to time in “at-the-market” offerings, or the 2023 ATM Program, pursuant to our existing Form S-3 and the prospectus supplement filed on February 21, 2023. During the six month period ended June 30, 2023, we issued 3,312,908 shares of common stock resulting in net proceeds of approximately $4.4 million after deducting $0.4 million of underwriting discounts and commissions and other expenses,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0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In December 2021, we entered into an underwriting agreement where we sold 32,142,858 shares of common stock and accompanying warrants to purchase up to an aggregate of 32,142,858 shares of our common stock. We also granted the underwriters a 30-day option to purchase up to 4,821,428 additional shares of common stock and/or accompanying warrants to purchase an aggregate of up to 4,821,428 shares of our common stock. The underwriters exercised the option to purchase additional warrants to purchase 4,821,428 shares of Common Stock. The aggregate net proceeds received by us from the offering was $208.7 million, after deducting underwriting discounts and commissions and other estimated offering expenses payable by us and excluding the net proceeds, if any, from the exercise of the common warrants. The warrants are immediately exercisable and will expire two years from the date of issuance, at an exercise price of $9.00 per share, which may provide us with additional funding, if such warrants are exercised by their holders.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On March 19, 2023, we entered into a Securities Purchase Agreement, pursuant to which the Company agreed to issue and sell, in a registered direct offering, 12,205,000 shares of common stock, pre-funded warrants to purchase up to an aggregate of 20,965,747 shares of Common Stock, and warrants to purchase up to 33,170,747 shares of Common Stock.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Offering closed on March 22, 2023. Each Warrant is exercisable for one share of Common Stock at an exercise price of $1.55 per share, which may provide us with additional funding, if such warrants are exercised by their holders. The Warrants are immediately exercisable and will expire 3.5 years from the original issuance date. Each Pre-Funded Warrant is exercisable for one share of Common Stock at an exercise price of $0.001 per share. The Pre-Funded Warrants are immediately exercisable and may be exercised at any time until all of the Pre-Funded Warrants are exercised in full. In connection with the Offering, we amended certain existing warrants to purchase up to an aggregate of 9,024,212 shares of the Company's common stock that were previously issued in December 2021 at an exercise price of $9.00 per share and had an expiration date of December 7, 2023, effective upon the closing of the Offering, such that the amended warrants have a reduced exercise price of $1.55 per share and expire three and one half years following the closing of the Offering, for additional consideration of $0.125 per amended warrant. We received net proceeds of approximately $51.3 million related to the offering after deducting placement agent fees and related offering expenses of $4.2 million and approximately $1.1 million in connection with the amended warrants after deducting placement fees of $0.1 million. Refer to Note 13 "Stockholders' Deficit" in our condensed financial statements included in this Form 10-Q for the quarter ended June 30, 2023 for further information.</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On November 23, 2022, we entered into a waiver and amendment to the RIPA with Oberland, in which we agreed to make a one-time partial call payment with regards to the Revenue Interests (as defined in the RIPA) in an amount equal to $50 million from the restricted cash account (the “Partial Call”). Under this amendment, the amount of the Cumulative Purchaser Payments (as defined in the RIPA) was reduced to $177,777,778.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$22.8 million in the next year to a maximum total payment of $358.7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8 "Liability Related to the Revenue Interest Purchase Agreement" in our condensed financial statements included in this Form 10-Q for the quarter ended June 30, 2023 for further information.</w:t>
      </w:r>
    </w:p>
    <w:p>
      <w:pPr>
        <w:spacing w:after="0" w:line="37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Convertible Notes held in the aggregate by them (and accrued interest thereon) for shares of our common stock, which closed on November 3, 2021. Future payments under the convertible notes include annual interest of $10.6 million and a principal payment of $265.0 million in 2025. Refer to Note 9 "Convertible Notes" in our condensed financial statements included in this Form 10-Q for the quarter ended June 30, 2023 for further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Funding Requirements</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allow us to fund continuing operations for the foreseeable future. We have based these estimates on assumptions that may prove to be wrong, and we may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use our available capital resources sooner than we currently expect. We may need to secure additional cash resources or implement certain additional cost reduction initiatives to continue to fund the commercialization and further development of bempedoic acid and the bempedoic acid / ezetimibe combination tablet, particularly if our net product sales do not meet our expectations. We caution that receipt of any milestone payment amounts is subject to risks and uncertainties, including the Company obtaining the relevant regulatory approvals and marketing authorizations, the approval of the required EU and US labels,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or a delay in receipt of some or all of our milestone payments and other royalty amounts from our collaboration partners may significantly impact our future capital needs and ability to fund operations.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2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NEXLETOL and NEXLIZET or other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costs, timing and outcomes of our ongoing clinical studies of bempedoic acid and the bempedoic acid / ezetimibe combination tablet;</w:t>
      </w:r>
    </w:p>
    <w:p>
      <w:pPr>
        <w:spacing w:after="0" w:line="248" w:lineRule="exact"/>
        <w:rPr>
          <w:rFonts w:ascii="Arial" w:cs="Arial" w:eastAsia="Arial" w:hAnsi="Arial"/>
          <w:sz w:val="16"/>
          <w:szCs w:val="16"/>
          <w:color w:val="auto"/>
        </w:rPr>
      </w:pPr>
    </w:p>
    <w:p>
      <w:pPr>
        <w:ind w:left="1300" w:right="32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time and cost necessary to obtain regulatory approvals for bempedoic acid and the bempedoic acid / ezetimibe combination tablet outside the U.S. and Europe and regulatory approvals for cardiovascular risk reduction in the U.S. and Europe;</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or commercialization arrangements on favorable terms, if at all;</w:t>
      </w:r>
    </w:p>
    <w:p>
      <w:pPr>
        <w:spacing w:after="0" w:line="225"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intended benefits of our existing and future collaboration and partnerships, including receiving potential milestone payments from collaboration partners;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operational and financial information technology.</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Until such time, if ever, as we can generate U.S. substantial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0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do not currently have, nor did we have during the periods presented, any off-balance sheet arrangements as defined by Securities and Exchange Commission rules.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in our Annual Report on Form 10-K for the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June 30, 2023,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2023, our disclosure controls and procedures were effective at the reasonable assurance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with respect to this item can be found under “Commitments and Contingencies” in Note 5 to our condensed financial statements included elsewhere in this Form 10-Q and is incorporated by reference into this Item 1.</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Except for the historical information contained herein or incorporated by reference, this report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report. Factors that could cause or contribute to these differences include, but are not limited to, those discussed in Part I, Item 2 entitled "Management's Discussion and Analysis of Financial Condition and Results of Operations" and elsewhere throughout this report and in any documents incorporated in this report by reference.</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You should consider carefully the following risk factors, together with those set forth in Part I, Item 1A in our Annual Report on Form 10-K for the fiscal year ended December 31, 2022 and in all of the other information included or incorporated in this report. The following risk factors represent new risk factors or those containing changes, including material changes, to the risk factors set forth in Part I, Item 1A of our Annual Report on Form 10-K for the fiscal year ended December 31, 2022.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22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a collaborative partner terminates or fails to perform its obligations under an agreement with us, the commercialization of bempedoic acid and the bempedoic acid / ezetimibe combination tablet could be delayed or terminated, and the receipt of any milestone payment could be delayed.</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January 2019, we entered into a license and collaboration agreement with Daiichi Sankyo Europe GmbH, or DSE, pursuant to which DSE will be responsible for the commercialization of bempedoic acid and the bempedoic acid / ezetimibe combination tablet in the DSE Territory. In April 2020, we entered into a license and collaboration agreement with Otsuka Pharmaceutical Co., Ltd., or Otsuka, pursuant to which Otsuka will be responsible for the commercialization of bempedoic acid and the bempedoic acid / ezetimibe combination tablet in Japan. Otsuka will be responsible for all development and regulatory activities in Japan. In addition, Otsuka will fund all clinical development costs associated with the program in Japan, if approved. In April 2021, we entered into a license and collaboration agreement with Daiichi Sankyo Co. Ltd, or DS, pursuant to which DS will be responsible for the commercialization of bempedoic acid and the bempedoic acid / ezetimibe combination in South Korea, Taiwan, Hong Kong, Thailand, Vietnam, Brazil, Macao, Cambodia and Myanmar, or the DS Territory. Except for certain development activities in South Korea and Taiwan, DS will be responsible for development and commercialization in these territories. We may also enter into similar arrangements with other partners or collaborators to commercialize bempedoic acid and the bempedoic acid / ezetimibe combination tablet, outside of the United States, Europe, Japan, or the DS Territory, or to further commercialize bempedoic acid or the bempedoic acid / ezetimibe combination tablet in the broader cholesterol modifying market in the United States. If DSE, Otsuka, DS or any of our future collaborative partners does not devote sufficient time and resources to the collaboration arrangement with us, we may not realize the potential commercial benefits of the arrangement, and our results of operations may be materially adversely affected. In addition, if DSE, Otsuka or DS or any such future collaboration partner were to breach or terminate its arrangements with us, the commercialization of bempedoic acid or the bempedoic acid / ezetimibe combination tablet could be delayed, curtailed or terminated because we may not have sufficient financial resources or capabilities to continue commercialization of bempedoic acid or the bempedoic acid / ezetimibe combination tablet on our own in such locations. 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On May 4, 2023, we filed an amended complaint against DSE in the Southern District of New York which seeks a judicial declaration, on an expedited basis, that DSE is contractually required to make a $300 million milestone payment to the Company upon applicable regulatory approval. 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June 20, 2023, DSE filed a response to our amended complaint. Even if we are successful in enforcing our rights, there could be a delay in our receipt of the milestone payments as a result of this or any other dispute relating to such payments. Any failure to receive or any delay in receipt of the milestone payments may significantly impact our future capital needs.</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Pursuant to the collaboration arrangement with DSE, we will receive significant commercial and regulatory milestone payments, as well as tiered fifteen percent (15%) to twenty-five percent (25%) royalties on certain net DSE Territory sales. Pursuant to the collaboration arrangement with Otsuka, we will receive significant commercial and regulatory milestone payments, as well as tiered fifteen percent (15%) to thirty percent (30%) royalties on certain net sales in Japan. Pursuant to the collaboration agreement with DS, we will receive significant commercial milestone payments, as well as tiered royalties ranging from five percent (5%) to twenty percent (20%) on net sales in the DS Territory. Similar to these collaboration arrangements, much of the potential revenue from future collaborations may consist of contingent payments, such as payments for achieving regulatory milestones or royalties payable on sales of drugs. The milestone and royalty revenue that we may receive under these collaborations will depend upon our collaborators’ ability to successfully introduce, market and sell new products, and on our ability to obtain the relevant regulatory approvals. In addition, collaborators may decide to enter into arrangements with third parties to commercialize products developed under collaborations using our technologies, which could reduce the milestone and royalty revenue that we may receive, if any. DSE, Otsuka, DS and our future collaboration partners may fail to develop or effectively commercialize products using our products or technologies because they:</w:t>
      </w:r>
    </w:p>
    <w:p>
      <w:pPr>
        <w:spacing w:after="0" w:line="209" w:lineRule="exact"/>
        <w:rPr>
          <w:sz w:val="20"/>
          <w:szCs w:val="20"/>
          <w:color w:val="auto"/>
        </w:rPr>
      </w:pPr>
    </w:p>
    <w:p>
      <w:pPr>
        <w:ind w:left="660" w:right="40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decide not to devote the necessary resources due to internal constraints, such as limited personnel with the requisite expertise, limited cash resources or specialized equipment limitations, or the belief that other drug development programs may have a higher likelihood of obtaining marketing approval or may potentially generate a greater return on investment;</w:t>
      </w:r>
    </w:p>
    <w:p>
      <w:pPr>
        <w:spacing w:after="0" w:line="21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decide to pursue other technologies or develop other product candidates, either on their own or in collaboration with others, including our competitors, to treat the same diseases targeted by our own collaborative programs;</w:t>
      </w:r>
    </w:p>
    <w:p>
      <w:pPr>
        <w:spacing w:after="0" w:line="197" w:lineRule="exact"/>
        <w:rPr>
          <w:rFonts w:ascii="Arial" w:cs="Arial" w:eastAsia="Arial" w:hAnsi="Arial"/>
          <w:sz w:val="18"/>
          <w:szCs w:val="18"/>
          <w:color w:val="auto"/>
        </w:rPr>
      </w:pPr>
    </w:p>
    <w:p>
      <w:pPr>
        <w:ind w:left="660" w:right="13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have sufficient resources necessary to carry the product candidate through clinical development, marketing approval and commercialization;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cannot obtain the necessary marketing approvals.</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Receipt of any milestone payment amounts is subject to risks and uncertainties, including our obtaining the relevant regulatory approvals and marketing authorizations, the approval of the required EU and US labels,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some or all of our milestone payments and other royalty amounts from our collaboration partners may significantly impact our future capital needs.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Competition may negatively impact a partner’s focus on and commitment to bempedoic acid or the bempedoic acid / ezetimibe combination tablet and, as a result, could delay or otherwise negatively affect the commercialization of bempedoic acid or the bempedoic acid / ezetimibe combination tablet outside of the United States or in the broader cholesterol modifying market in the United States. If DSE, Otsuka, DS and our future collaboration partners fail to develop or effectively commercialize bempedoic acid or the bempedoic acid / ezetimibe combination tablet for any of these reasons, our sales of bempedoic acid or the bempedoic acid / ezetimibe combination tablet may be limited, which would have a material adverse effect on our operating results and financial condition.</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19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exposed vulnerabilities in the banking sector, including legal uncertainties, significant volatility and contagion risk, and caused market prices of regional bank stocks to plummet.</w:t>
      </w:r>
    </w:p>
    <w:p>
      <w:pPr>
        <w:spacing w:after="0" w:line="17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of the date of this Quarterly Report on Form 10-Q, we have not experienced any adverse impact to our liquidity or to our current and projected business operations, financial condition or results of operations as a result of these bank failures; however, we are unable to predict the extent or nature of the impacts of these evolving circumstances at this time. If, for example, other banks and financial institutions enter receivership or become insolvent in the future in response to financial</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conditions affecting the banking system and financial markets, our ability to access our existing cash, cash equivalents and investments may be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Incorporated by Reference to:</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8"/>
              </w:rPr>
              <w:t>Form or</w:t>
            </w: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22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gridSpan w:val="18"/>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Date with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8"/>
            <w:vMerge w:val="continue"/>
          </w:tcPr>
          <w:p>
            <w:pPr>
              <w:spacing w:after="0"/>
              <w:rPr>
                <w:sz w:val="16"/>
                <w:szCs w:val="16"/>
                <w:color w:val="auto"/>
              </w:rPr>
            </w:pPr>
          </w:p>
        </w:tc>
        <w:tc>
          <w:tcPr>
            <w:tcW w:w="12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Schedule</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No.</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37"/>
        </w:trPr>
        <w:tc>
          <w:tcPr>
            <w:tcW w:w="640" w:type="dxa"/>
            <w:vAlign w:val="bottom"/>
            <w:gridSpan w:val="3"/>
          </w:tcPr>
          <w:p>
            <w:pPr>
              <w:jc w:val="center"/>
              <w:ind w:left="360"/>
              <w:spacing w:after="0"/>
              <w:rPr>
                <w:rFonts w:ascii="Arial" w:cs="Arial" w:eastAsia="Arial" w:hAnsi="Arial"/>
                <w:sz w:val="16"/>
                <w:szCs w:val="16"/>
                <w:color w:val="0000FF"/>
                <w:w w:val="89"/>
              </w:rPr>
            </w:pPr>
            <w:hyperlink r:id="rId59">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rPr>
            </w:pPr>
            <w:hyperlink r:id="rId59">
              <w:r>
                <w:rPr>
                  <w:rFonts w:ascii="Arial" w:cs="Arial" w:eastAsia="Arial" w:hAnsi="Arial"/>
                  <w:sz w:val="16"/>
                  <w:szCs w:val="16"/>
                  <w:color w:val="0000FF"/>
                </w:rPr>
                <w:t>Amended and Restated Certificate of Incorporation of the</w:t>
              </w:r>
            </w:hyperlink>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6"/>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3.2</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12, 2013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333-188595</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87"/>
              </w:rPr>
            </w:pPr>
            <w:hyperlink r:id="rId59">
              <w:r>
                <w:rPr>
                  <w:rFonts w:ascii="Arial" w:cs="Arial" w:eastAsia="Arial" w:hAnsi="Arial"/>
                  <w:sz w:val="16"/>
                  <w:szCs w:val="16"/>
                  <w:color w:val="0000FF"/>
                  <w:w w:val="87"/>
                </w:rPr>
                <w:t>Registrant</w:t>
              </w:r>
            </w:hyperlink>
          </w:p>
        </w:tc>
        <w:tc>
          <w:tcPr>
            <w:tcW w:w="308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3"/>
          </w:tcPr>
          <w:p>
            <w:pPr>
              <w:jc w:val="center"/>
              <w:ind w:left="360"/>
              <w:spacing w:after="0"/>
              <w:rPr>
                <w:rFonts w:ascii="Arial" w:cs="Arial" w:eastAsia="Arial" w:hAnsi="Arial"/>
                <w:sz w:val="16"/>
                <w:szCs w:val="16"/>
                <w:color w:val="0000FF"/>
                <w:w w:val="89"/>
              </w:rPr>
            </w:pPr>
            <w:hyperlink r:id="rId60">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w w:val="96"/>
              </w:rPr>
            </w:pPr>
            <w:hyperlink r:id="rId60">
              <w:r>
                <w:rPr>
                  <w:rFonts w:ascii="Arial" w:cs="Arial" w:eastAsia="Arial" w:hAnsi="Arial"/>
                  <w:sz w:val="16"/>
                  <w:szCs w:val="16"/>
                  <w:color w:val="0000FF"/>
                  <w:w w:val="96"/>
                </w:rPr>
                <w:t>Certificate of Amendment to Amended and Restated Certificate of</w:t>
              </w:r>
            </w:hyperlink>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6"/>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May 26,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9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1"/>
              </w:rPr>
            </w:pPr>
            <w:hyperlink r:id="rId60">
              <w:r>
                <w:rPr>
                  <w:rFonts w:ascii="Arial" w:cs="Arial" w:eastAsia="Arial" w:hAnsi="Arial"/>
                  <w:sz w:val="16"/>
                  <w:szCs w:val="16"/>
                  <w:color w:val="0000FF"/>
                  <w:w w:val="91"/>
                </w:rPr>
                <w:t>Incorporation of the Registrant</w:t>
              </w:r>
            </w:hyperlink>
          </w:p>
        </w:tc>
        <w:tc>
          <w:tcPr>
            <w:tcW w:w="23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3"/>
          </w:tcPr>
          <w:p>
            <w:pPr>
              <w:jc w:val="center"/>
              <w:ind w:left="360"/>
              <w:spacing w:after="0"/>
              <w:rPr>
                <w:rFonts w:ascii="Arial" w:cs="Arial" w:eastAsia="Arial" w:hAnsi="Arial"/>
                <w:sz w:val="16"/>
                <w:szCs w:val="16"/>
                <w:color w:val="0000FF"/>
                <w:w w:val="89"/>
              </w:rPr>
            </w:pPr>
            <w:hyperlink r:id="rId6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rPr>
            </w:pPr>
            <w:hyperlink r:id="rId61">
              <w:r>
                <w:rPr>
                  <w:rFonts w:ascii="Arial" w:cs="Arial" w:eastAsia="Arial" w:hAnsi="Arial"/>
                  <w:sz w:val="16"/>
                  <w:szCs w:val="16"/>
                  <w:color w:val="0000FF"/>
                </w:rPr>
                <w:t>Certificate of Validation relating to Certificate of Amendment to</w:t>
              </w:r>
            </w:hyperlink>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6"/>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September 20,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160" w:type="dxa"/>
            <w:vAlign w:val="bottom"/>
            <w:tcBorders>
              <w:top w:val="single" w:sz="8" w:color="0000FF"/>
            </w:tcBorders>
            <w:gridSpan w:val="14"/>
          </w:tcPr>
          <w:p>
            <w:pPr>
              <w:spacing w:after="0" w:line="142" w:lineRule="exact"/>
              <w:rPr>
                <w:rFonts w:ascii="Arial" w:cs="Arial" w:eastAsia="Arial" w:hAnsi="Arial"/>
                <w:sz w:val="16"/>
                <w:szCs w:val="16"/>
                <w:color w:val="0000FF"/>
                <w:w w:val="95"/>
              </w:rPr>
            </w:pPr>
            <w:hyperlink r:id="rId61">
              <w:r>
                <w:rPr>
                  <w:rFonts w:ascii="Arial" w:cs="Arial" w:eastAsia="Arial" w:hAnsi="Arial"/>
                  <w:sz w:val="16"/>
                  <w:szCs w:val="16"/>
                  <w:color w:val="0000FF"/>
                  <w:w w:val="95"/>
                </w:rPr>
                <w:t>the Amended and Restated Certificate of Incorporation of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0"/>
              </w:rPr>
            </w:pPr>
            <w:hyperlink r:id="rId61">
              <w:r>
                <w:rPr>
                  <w:rFonts w:ascii="Arial" w:cs="Arial" w:eastAsia="Arial" w:hAnsi="Arial"/>
                  <w:sz w:val="16"/>
                  <w:szCs w:val="16"/>
                  <w:color w:val="0000FF"/>
                  <w:w w:val="90"/>
                </w:rPr>
                <w:t>Registrant dated May 26, 2022</w:t>
              </w:r>
            </w:hyperlink>
          </w:p>
        </w:tc>
        <w:tc>
          <w:tcPr>
            <w:tcW w:w="1960" w:type="dxa"/>
            <w:vAlign w:val="bottom"/>
            <w:tcBorders>
              <w:top w:val="single" w:sz="8" w:color="0000FF"/>
            </w:tcBorders>
            <w:gridSpan w:val="6"/>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3"/>
          </w:tcPr>
          <w:p>
            <w:pPr>
              <w:jc w:val="center"/>
              <w:ind w:left="360"/>
              <w:spacing w:after="0"/>
              <w:rPr>
                <w:rFonts w:ascii="Arial" w:cs="Arial" w:eastAsia="Arial" w:hAnsi="Arial"/>
                <w:sz w:val="16"/>
                <w:szCs w:val="16"/>
                <w:color w:val="0000FF"/>
                <w:w w:val="89"/>
              </w:rPr>
            </w:pPr>
            <w:hyperlink r:id="rId6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rPr>
            </w:pPr>
            <w:hyperlink r:id="rId62">
              <w:r>
                <w:rPr>
                  <w:rFonts w:ascii="Arial" w:cs="Arial" w:eastAsia="Arial" w:hAnsi="Arial"/>
                  <w:sz w:val="16"/>
                  <w:szCs w:val="16"/>
                  <w:color w:val="0000FF"/>
                </w:rPr>
                <w:t>Certificate of Amendment No. 2 to Amended and Restated</w:t>
              </w:r>
            </w:hyperlink>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6"/>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15, 2023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Certificate of Incorporation of the registrant.</w:t>
              </w:r>
            </w:hyperlink>
          </w:p>
        </w:tc>
        <w:tc>
          <w:tcPr>
            <w:tcW w:w="26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3"/>
          </w:tcPr>
          <w:p>
            <w:pPr>
              <w:jc w:val="center"/>
              <w:ind w:left="360"/>
              <w:spacing w:after="0"/>
              <w:rPr>
                <w:rFonts w:ascii="Arial" w:cs="Arial" w:eastAsia="Arial" w:hAnsi="Arial"/>
                <w:sz w:val="16"/>
                <w:szCs w:val="16"/>
                <w:color w:val="0000FF"/>
                <w:w w:val="89"/>
              </w:rPr>
            </w:pPr>
            <w:hyperlink r:id="rId63">
              <w:r>
                <w:rPr>
                  <w:rFonts w:ascii="Arial" w:cs="Arial" w:eastAsia="Arial" w:hAnsi="Arial"/>
                  <w:sz w:val="16"/>
                  <w:szCs w:val="16"/>
                  <w:color w:val="0000FF"/>
                  <w:w w:val="89"/>
                </w:rPr>
                <w:t>3.</w:t>
              </w:r>
              <w:r>
                <w:rPr>
                  <w:rFonts w:ascii="Arial" w:cs="Arial" w:eastAsia="Arial" w:hAnsi="Arial"/>
                  <w:sz w:val="16"/>
                  <w:szCs w:val="16"/>
                  <w:u w:val="single" w:color="auto"/>
                  <w:color w:val="0000FF"/>
                  <w:w w:val="89"/>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w w:val="99"/>
              </w:rPr>
            </w:pPr>
            <w:hyperlink r:id="rId63">
              <w:r>
                <w:rPr>
                  <w:rFonts w:ascii="Arial" w:cs="Arial" w:eastAsia="Arial" w:hAnsi="Arial"/>
                  <w:sz w:val="16"/>
                  <w:szCs w:val="16"/>
                  <w:color w:val="0000FF"/>
                  <w:w w:val="99"/>
                </w:rPr>
                <w:t>Second Amended and Restated Bylaws of the Registrant dated</w:t>
              </w:r>
            </w:hyperlink>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89"/>
              </w:rPr>
              <w:t>10-Q</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May 4,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April 29, 2021</w:t>
              </w:r>
            </w:hyperlink>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gridSpan w:val="2"/>
          </w:tcPr>
          <w:p>
            <w:pPr>
              <w:spacing w:after="0"/>
              <w:rPr>
                <w:sz w:val="24"/>
                <w:szCs w:val="24"/>
                <w:color w:val="auto"/>
              </w:rPr>
            </w:pPr>
          </w:p>
        </w:tc>
        <w:tc>
          <w:tcPr>
            <w:tcW w:w="200" w:type="dxa"/>
            <w:vAlign w:val="bottom"/>
          </w:tcPr>
          <w:p>
            <w:pPr>
              <w:jc w:val="center"/>
              <w:spacing w:after="0"/>
              <w:rPr>
                <w:rFonts w:ascii="Arial" w:cs="Arial" w:eastAsia="Arial" w:hAnsi="Arial"/>
                <w:sz w:val="16"/>
                <w:szCs w:val="16"/>
                <w:color w:val="0000FF"/>
                <w:w w:val="89"/>
              </w:rPr>
            </w:pPr>
            <w:hyperlink r:id="rId64">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rPr>
            </w:pPr>
            <w:hyperlink r:id="rId64">
              <w:r>
                <w:rPr>
                  <w:rFonts w:ascii="Arial" w:cs="Arial" w:eastAsia="Arial" w:hAnsi="Arial"/>
                  <w:sz w:val="16"/>
                  <w:szCs w:val="16"/>
                  <w:color w:val="0000FF"/>
                </w:rPr>
                <w:t>Specimen Common Stock Certificate</w:t>
              </w:r>
            </w:hyperlink>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6"/>
              </w:rPr>
              <w:t>S-1</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4.1</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12, 2013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333-188595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gridSpan w:val="5"/>
          </w:tcPr>
          <w:p>
            <w:pPr>
              <w:jc w:val="center"/>
              <w:ind w:left="260"/>
              <w:spacing w:after="0"/>
              <w:rPr>
                <w:rFonts w:ascii="Arial" w:cs="Arial" w:eastAsia="Arial" w:hAnsi="Arial"/>
                <w:sz w:val="16"/>
                <w:szCs w:val="16"/>
                <w:color w:val="0000FF"/>
                <w:w w:val="89"/>
              </w:rPr>
            </w:pPr>
            <w:hyperlink r:id="rId6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48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w w:val="96"/>
              </w:rPr>
            </w:pPr>
            <w:hyperlink r:id="rId65">
              <w:r>
                <w:rPr>
                  <w:rFonts w:ascii="Arial" w:cs="Arial" w:eastAsia="Arial" w:hAnsi="Arial"/>
                  <w:sz w:val="16"/>
                  <w:szCs w:val="16"/>
                  <w:color w:val="0000FF"/>
                  <w:w w:val="96"/>
                </w:rPr>
                <w:t>The Esperion Therapeutics, Inc. 2022 Stock Option and Incentive</w:t>
              </w:r>
            </w:hyperlink>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6"/>
              </w:rPr>
              <w:t>8-K</w:t>
            </w:r>
          </w:p>
        </w:tc>
        <w:tc>
          <w:tcPr>
            <w:tcW w:w="1040" w:type="dxa"/>
            <w:vAlign w:val="bottom"/>
          </w:tcPr>
          <w:p>
            <w:pPr>
              <w:jc w:val="center"/>
              <w:ind w:left="42"/>
              <w:spacing w:after="0"/>
              <w:rPr>
                <w:sz w:val="20"/>
                <w:szCs w:val="20"/>
                <w:color w:val="auto"/>
              </w:rPr>
            </w:pPr>
            <w:r>
              <w:rPr>
                <w:rFonts w:ascii="Arial" w:cs="Arial" w:eastAsia="Arial" w:hAnsi="Arial"/>
                <w:sz w:val="16"/>
                <w:szCs w:val="16"/>
                <w:color w:val="auto"/>
                <w:w w:val="89"/>
              </w:rPr>
              <w:t>10.1</w:t>
            </w: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June 15, 2023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001-35986</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Plan and its Amendment.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gridSpan w:val="5"/>
          </w:tcPr>
          <w:p>
            <w:pPr>
              <w:jc w:val="center"/>
              <w:ind w:left="260"/>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480" w:type="dxa"/>
            <w:vAlign w:val="bottom"/>
          </w:tcPr>
          <w:p>
            <w:pPr>
              <w:spacing w:after="0"/>
              <w:rPr>
                <w:sz w:val="24"/>
                <w:szCs w:val="24"/>
                <w:color w:val="auto"/>
              </w:rPr>
            </w:pPr>
          </w:p>
        </w:tc>
        <w:tc>
          <w:tcPr>
            <w:tcW w:w="4500" w:type="dxa"/>
            <w:vAlign w:val="bottom"/>
            <w:gridSpan w:val="23"/>
          </w:tcPr>
          <w:p>
            <w:pPr>
              <w:spacing w:after="0"/>
              <w:rPr>
                <w:sz w:val="20"/>
                <w:szCs w:val="20"/>
                <w:color w:val="auto"/>
              </w:rPr>
            </w:pPr>
            <w:r>
              <w:rPr>
                <w:rFonts w:ascii="Arial" w:cs="Arial" w:eastAsia="Arial" w:hAnsi="Arial"/>
                <w:sz w:val="16"/>
                <w:szCs w:val="16"/>
                <w:color w:val="0000FF"/>
                <w:w w:val="99"/>
              </w:rPr>
              <w:t>Certification of Principal Executive Officer pursuant to Rule 13a-</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17"/>
          </w:tcPr>
          <w:p>
            <w:pPr>
              <w:spacing w:after="0" w:line="142" w:lineRule="exact"/>
              <w:rPr>
                <w:sz w:val="20"/>
                <w:szCs w:val="20"/>
                <w:color w:val="auto"/>
              </w:rPr>
            </w:pPr>
            <w:r>
              <w:rPr>
                <w:rFonts w:ascii="Arial" w:cs="Arial" w:eastAsia="Arial" w:hAnsi="Arial"/>
                <w:sz w:val="16"/>
                <w:szCs w:val="16"/>
                <w:color w:val="0000FF"/>
                <w:w w:val="90"/>
              </w:rPr>
              <w:t>14(a) and Rule 15d-14(a) of the Securities Exchange Act of 1934,</w:t>
            </w: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80" w:type="dxa"/>
            <w:vAlign w:val="bottom"/>
            <w:gridSpan w:val="19"/>
          </w:tcPr>
          <w:p>
            <w:pPr>
              <w:spacing w:after="0" w:line="142" w:lineRule="exact"/>
              <w:rPr>
                <w:sz w:val="20"/>
                <w:szCs w:val="20"/>
                <w:color w:val="auto"/>
              </w:rPr>
            </w:pPr>
            <w:r>
              <w:rPr>
                <w:rFonts w:ascii="Arial" w:cs="Arial" w:eastAsia="Arial" w:hAnsi="Arial"/>
                <w:sz w:val="16"/>
                <w:szCs w:val="16"/>
                <w:color w:val="0000FF"/>
                <w:w w:val="92"/>
              </w:rPr>
              <w:t>as adopted pursuant to Section 302 of the Sarbanes-Oxley Act of</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84"/>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740" w:type="dxa"/>
            <w:vAlign w:val="bottom"/>
            <w:gridSpan w:val="5"/>
          </w:tcPr>
          <w:p>
            <w:pPr>
              <w:jc w:val="center"/>
              <w:ind w:left="260"/>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480" w:type="dxa"/>
            <w:vAlign w:val="bottom"/>
          </w:tcPr>
          <w:p>
            <w:pPr>
              <w:spacing w:after="0"/>
              <w:rPr>
                <w:sz w:val="24"/>
                <w:szCs w:val="24"/>
                <w:color w:val="auto"/>
              </w:rPr>
            </w:pPr>
          </w:p>
        </w:tc>
        <w:tc>
          <w:tcPr>
            <w:tcW w:w="4500" w:type="dxa"/>
            <w:vAlign w:val="bottom"/>
            <w:gridSpan w:val="23"/>
          </w:tcPr>
          <w:p>
            <w:pPr>
              <w:spacing w:after="0"/>
              <w:rPr>
                <w:sz w:val="20"/>
                <w:szCs w:val="20"/>
                <w:color w:val="auto"/>
              </w:rPr>
            </w:pPr>
            <w:r>
              <w:rPr>
                <w:rFonts w:ascii="Arial" w:cs="Arial" w:eastAsia="Arial" w:hAnsi="Arial"/>
                <w:sz w:val="16"/>
                <w:szCs w:val="16"/>
                <w:color w:val="0000FF"/>
              </w:rPr>
              <w:t>Certification of Principal Financial Officer pursuant to Rule 13a-</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w w:val="89"/>
              </w:rPr>
              <w:t>14(a) and Rule 15d-14(a) of the Securities Exchange Act of 1934,</w:t>
            </w: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8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w w:val="92"/>
              </w:rPr>
              <w:t>as adopted pursuant to Section 302 of the Sarbanes-Oxley Act of</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84"/>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740" w:type="dxa"/>
            <w:vAlign w:val="bottom"/>
            <w:gridSpan w:val="5"/>
          </w:tcPr>
          <w:p>
            <w:pPr>
              <w:jc w:val="center"/>
              <w:ind w:left="280"/>
              <w:spacing w:after="0"/>
              <w:rPr>
                <w:sz w:val="20"/>
                <w:szCs w:val="20"/>
                <w:color w:val="auto"/>
              </w:rPr>
            </w:pPr>
            <w:r>
              <w:rPr>
                <w:rFonts w:ascii="Arial" w:cs="Arial" w:eastAsia="Arial" w:hAnsi="Arial"/>
                <w:sz w:val="16"/>
                <w:szCs w:val="16"/>
                <w:color w:val="0000FF"/>
                <w:w w:val="92"/>
              </w:rPr>
              <w:t>32.</w:t>
            </w:r>
            <w:r>
              <w:rPr>
                <w:rFonts w:ascii="Arial" w:cs="Arial" w:eastAsia="Arial" w:hAnsi="Arial"/>
                <w:sz w:val="16"/>
                <w:szCs w:val="16"/>
                <w:u w:val="single" w:color="auto"/>
                <w:color w:val="0000FF"/>
                <w:w w:val="92"/>
              </w:rPr>
              <w:t>1</w:t>
            </w:r>
            <w:r>
              <w:rPr>
                <w:rFonts w:ascii="Arial" w:cs="Arial" w:eastAsia="Arial" w:hAnsi="Arial"/>
                <w:sz w:val="17"/>
                <w:szCs w:val="17"/>
                <w:color w:val="0000FF"/>
                <w:w w:val="92"/>
              </w:rPr>
              <w:t>+</w:t>
            </w:r>
          </w:p>
        </w:tc>
        <w:tc>
          <w:tcPr>
            <w:tcW w:w="480" w:type="dxa"/>
            <w:vAlign w:val="bottom"/>
          </w:tcPr>
          <w:p>
            <w:pPr>
              <w:spacing w:after="0"/>
              <w:rPr>
                <w:sz w:val="24"/>
                <w:szCs w:val="24"/>
                <w:color w:val="auto"/>
              </w:rPr>
            </w:pPr>
          </w:p>
        </w:tc>
        <w:tc>
          <w:tcPr>
            <w:tcW w:w="4500" w:type="dxa"/>
            <w:vAlign w:val="bottom"/>
            <w:gridSpan w:val="23"/>
          </w:tcPr>
          <w:p>
            <w:pPr>
              <w:spacing w:after="0"/>
              <w:rPr>
                <w:sz w:val="20"/>
                <w:szCs w:val="20"/>
                <w:color w:val="auto"/>
              </w:rPr>
            </w:pPr>
            <w:r>
              <w:rPr>
                <w:rFonts w:ascii="Arial" w:cs="Arial" w:eastAsia="Arial" w:hAnsi="Arial"/>
                <w:sz w:val="16"/>
                <w:szCs w:val="16"/>
                <w:color w:val="0000FF"/>
                <w:w w:val="97"/>
              </w:rPr>
              <w:t>Certification of Principal Executive Officer and Principal Financial</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80" w:type="dxa"/>
            <w:vAlign w:val="bottom"/>
          </w:tcPr>
          <w:p>
            <w:pPr>
              <w:spacing w:after="0"/>
              <w:rPr>
                <w:sz w:val="10"/>
                <w:szCs w:val="10"/>
                <w:color w:val="auto"/>
              </w:rPr>
            </w:pPr>
          </w:p>
        </w:tc>
        <w:tc>
          <w:tcPr>
            <w:tcW w:w="4340" w:type="dxa"/>
            <w:vAlign w:val="bottom"/>
            <w:tcBorders>
              <w:top w:val="single" w:sz="8" w:color="0000FF"/>
            </w:tcBorders>
            <w:gridSpan w:val="22"/>
          </w:tcPr>
          <w:p>
            <w:pPr>
              <w:spacing w:after="0" w:line="122" w:lineRule="exact"/>
              <w:rPr>
                <w:sz w:val="20"/>
                <w:szCs w:val="20"/>
                <w:color w:val="auto"/>
              </w:rPr>
            </w:pPr>
            <w:r>
              <w:rPr>
                <w:rFonts w:ascii="Arial" w:cs="Arial" w:eastAsia="Arial" w:hAnsi="Arial"/>
                <w:sz w:val="14"/>
                <w:szCs w:val="14"/>
                <w:color w:val="0000FF"/>
              </w:rPr>
              <w:t>Officer pursuant to 18 U.S.C. Section 1350, as adopted pursuant to</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304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w w:val="90"/>
              </w:rPr>
              <w:t>Section 906 of the Sarbanes-Oxley Act of 2002</w:t>
            </w:r>
          </w:p>
        </w:tc>
        <w:tc>
          <w:tcPr>
            <w:tcW w:w="1260" w:type="dxa"/>
            <w:vAlign w:val="bottom"/>
            <w:tcBorders>
              <w:top w:val="single" w:sz="8" w:color="0000FF"/>
            </w:tcBorders>
            <w:gridSpan w:val="12"/>
          </w:tcPr>
          <w:p>
            <w:pPr>
              <w:spacing w:after="0"/>
              <w:rPr>
                <w:sz w:val="12"/>
                <w:szCs w:val="12"/>
                <w:color w:val="auto"/>
              </w:rPr>
            </w:pPr>
          </w:p>
        </w:tc>
        <w:tc>
          <w:tcPr>
            <w:tcW w:w="1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220" w:type="dxa"/>
            <w:vAlign w:val="bottom"/>
            <w:gridSpan w:val="6"/>
          </w:tcPr>
          <w:p>
            <w:pPr>
              <w:jc w:val="center"/>
              <w:ind w:right="140"/>
              <w:spacing w:after="0"/>
              <w:rPr>
                <w:sz w:val="20"/>
                <w:szCs w:val="20"/>
                <w:color w:val="auto"/>
              </w:rPr>
            </w:pPr>
            <w:r>
              <w:rPr>
                <w:rFonts w:ascii="Arial" w:cs="Arial" w:eastAsia="Arial" w:hAnsi="Arial"/>
                <w:sz w:val="16"/>
                <w:szCs w:val="16"/>
                <w:color w:val="auto"/>
                <w:w w:val="95"/>
              </w:rPr>
              <w:t>101.SCH*</w:t>
            </w:r>
          </w:p>
        </w:tc>
        <w:tc>
          <w:tcPr>
            <w:tcW w:w="4500" w:type="dxa"/>
            <w:vAlign w:val="bottom"/>
            <w:gridSpan w:val="23"/>
          </w:tcPr>
          <w:p>
            <w:pPr>
              <w:spacing w:after="0"/>
              <w:rPr>
                <w:sz w:val="20"/>
                <w:szCs w:val="20"/>
                <w:color w:val="auto"/>
              </w:rPr>
            </w:pPr>
            <w:r>
              <w:rPr>
                <w:rFonts w:ascii="Arial" w:cs="Arial" w:eastAsia="Arial" w:hAnsi="Arial"/>
                <w:sz w:val="16"/>
                <w:szCs w:val="16"/>
                <w:color w:val="auto"/>
              </w:rPr>
              <w:t>Inline XBRL Taxonomy Extension Schema Document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20" w:type="dxa"/>
            <w:vAlign w:val="bottom"/>
            <w:gridSpan w:val="6"/>
          </w:tcPr>
          <w:p>
            <w:pPr>
              <w:jc w:val="center"/>
              <w:ind w:right="140"/>
              <w:spacing w:after="0"/>
              <w:rPr>
                <w:sz w:val="20"/>
                <w:szCs w:val="20"/>
                <w:color w:val="auto"/>
              </w:rPr>
            </w:pPr>
            <w:r>
              <w:rPr>
                <w:rFonts w:ascii="Arial" w:cs="Arial" w:eastAsia="Arial" w:hAnsi="Arial"/>
                <w:sz w:val="16"/>
                <w:szCs w:val="16"/>
                <w:color w:val="auto"/>
                <w:w w:val="99"/>
              </w:rPr>
              <w:t>101.CAL*</w:t>
            </w:r>
          </w:p>
        </w:tc>
        <w:tc>
          <w:tcPr>
            <w:tcW w:w="4500" w:type="dxa"/>
            <w:vAlign w:val="bottom"/>
            <w:gridSpan w:val="23"/>
          </w:tcPr>
          <w:p>
            <w:pPr>
              <w:spacing w:after="0"/>
              <w:rPr>
                <w:sz w:val="20"/>
                <w:szCs w:val="20"/>
                <w:color w:val="auto"/>
              </w:rPr>
            </w:pPr>
            <w:r>
              <w:rPr>
                <w:rFonts w:ascii="Arial" w:cs="Arial" w:eastAsia="Arial" w:hAnsi="Arial"/>
                <w:sz w:val="16"/>
                <w:szCs w:val="16"/>
                <w:color w:val="auto"/>
                <w:w w:val="95"/>
              </w:rPr>
              <w:t>Inline XBRL Taxonomy Extension Calculation Linkbase Document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gridSpan w:val="6"/>
          </w:tcPr>
          <w:p>
            <w:pPr>
              <w:jc w:val="center"/>
              <w:ind w:right="140"/>
              <w:spacing w:after="0"/>
              <w:rPr>
                <w:sz w:val="20"/>
                <w:szCs w:val="20"/>
                <w:color w:val="auto"/>
              </w:rPr>
            </w:pPr>
            <w:r>
              <w:rPr>
                <w:rFonts w:ascii="Arial" w:cs="Arial" w:eastAsia="Arial" w:hAnsi="Arial"/>
                <w:sz w:val="16"/>
                <w:szCs w:val="16"/>
                <w:color w:val="auto"/>
              </w:rPr>
              <w:t>101.LAB*</w:t>
            </w:r>
          </w:p>
        </w:tc>
        <w:tc>
          <w:tcPr>
            <w:tcW w:w="4500" w:type="dxa"/>
            <w:vAlign w:val="bottom"/>
            <w:gridSpan w:val="2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20" w:type="dxa"/>
            <w:vAlign w:val="bottom"/>
            <w:gridSpan w:val="6"/>
          </w:tcPr>
          <w:p>
            <w:pPr>
              <w:jc w:val="center"/>
              <w:ind w:right="120"/>
              <w:spacing w:after="0"/>
              <w:rPr>
                <w:sz w:val="20"/>
                <w:szCs w:val="20"/>
                <w:color w:val="auto"/>
              </w:rPr>
            </w:pPr>
            <w:r>
              <w:rPr>
                <w:rFonts w:ascii="Arial" w:cs="Arial" w:eastAsia="Arial" w:hAnsi="Arial"/>
                <w:sz w:val="16"/>
                <w:szCs w:val="16"/>
                <w:color w:val="auto"/>
                <w:w w:val="93"/>
              </w:rPr>
              <w:t>101.PRE*</w:t>
            </w:r>
          </w:p>
        </w:tc>
        <w:tc>
          <w:tcPr>
            <w:tcW w:w="4500" w:type="dxa"/>
            <w:vAlign w:val="bottom"/>
            <w:gridSpan w:val="23"/>
          </w:tcPr>
          <w:p>
            <w:pPr>
              <w:spacing w:after="0"/>
              <w:rPr>
                <w:sz w:val="20"/>
                <w:szCs w:val="20"/>
                <w:color w:val="auto"/>
              </w:rPr>
            </w:pPr>
            <w:r>
              <w:rPr>
                <w:rFonts w:ascii="Arial" w:cs="Arial" w:eastAsia="Arial" w:hAnsi="Arial"/>
                <w:sz w:val="16"/>
                <w:szCs w:val="16"/>
                <w:color w:val="auto"/>
                <w:w w:val="93"/>
              </w:rPr>
              <w:t>Inline XBRL Taxonomy Extension Presentation Linkbase Document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20" w:type="dxa"/>
            <w:vAlign w:val="bottom"/>
            <w:gridSpan w:val="6"/>
          </w:tcPr>
          <w:p>
            <w:pPr>
              <w:jc w:val="center"/>
              <w:ind w:right="120"/>
              <w:spacing w:after="0"/>
              <w:rPr>
                <w:sz w:val="20"/>
                <w:szCs w:val="20"/>
                <w:color w:val="auto"/>
              </w:rPr>
            </w:pPr>
            <w:r>
              <w:rPr>
                <w:rFonts w:ascii="Arial" w:cs="Arial" w:eastAsia="Arial" w:hAnsi="Arial"/>
                <w:sz w:val="16"/>
                <w:szCs w:val="16"/>
                <w:color w:val="auto"/>
                <w:w w:val="95"/>
              </w:rPr>
              <w:t>101.DEF*</w:t>
            </w:r>
          </w:p>
        </w:tc>
        <w:tc>
          <w:tcPr>
            <w:tcW w:w="4500" w:type="dxa"/>
            <w:vAlign w:val="bottom"/>
            <w:gridSpan w:val="23"/>
          </w:tcPr>
          <w:p>
            <w:pPr>
              <w:spacing w:after="0"/>
              <w:rPr>
                <w:sz w:val="20"/>
                <w:szCs w:val="20"/>
                <w:color w:val="auto"/>
              </w:rPr>
            </w:pPr>
            <w:r>
              <w:rPr>
                <w:rFonts w:ascii="Arial" w:cs="Arial" w:eastAsia="Arial" w:hAnsi="Arial"/>
                <w:sz w:val="16"/>
                <w:szCs w:val="16"/>
                <w:color w:val="auto"/>
                <w:w w:val="98"/>
              </w:rPr>
              <w:t>Inline XBRL Taxonomy Extension Definition Linkbase Document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gridSpan w:val="4"/>
          </w:tcPr>
          <w:p>
            <w:pPr>
              <w:jc w:val="center"/>
              <w:ind w:left="280"/>
              <w:spacing w:after="0"/>
              <w:rPr>
                <w:sz w:val="20"/>
                <w:szCs w:val="20"/>
                <w:color w:val="auto"/>
              </w:rPr>
            </w:pPr>
            <w:r>
              <w:rPr>
                <w:rFonts w:ascii="Arial" w:cs="Arial" w:eastAsia="Arial" w:hAnsi="Arial"/>
                <w:sz w:val="16"/>
                <w:szCs w:val="16"/>
                <w:color w:val="auto"/>
                <w:w w:val="97"/>
              </w:rPr>
              <w:t>104*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20" w:type="dxa"/>
            <w:vAlign w:val="bottom"/>
            <w:gridSpan w:val="27"/>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80" w:hanging="129"/>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rFonts w:ascii="Arial" w:cs="Arial" w:eastAsia="Arial" w:hAnsi="Arial"/>
          <w:sz w:val="18"/>
          <w:szCs w:val="18"/>
          <w:color w:val="auto"/>
        </w:rPr>
      </w:pPr>
    </w:p>
    <w:p>
      <w:pPr>
        <w:ind w:left="900" w:hanging="325"/>
        <w:spacing w:after="0" w:line="263" w:lineRule="auto"/>
        <w:tabs>
          <w:tab w:leader="none" w:pos="8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ESPERION THERAPEUTICS, INC.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500" w:val="left"/>
          <w:tab w:leader="none" w:pos="5980" w:val="left"/>
        </w:tabs>
        <w:rPr>
          <w:sz w:val="20"/>
          <w:szCs w:val="20"/>
          <w:color w:val="auto"/>
        </w:rPr>
      </w:pPr>
      <w:r>
        <w:rPr>
          <w:rFonts w:ascii="Arial" w:cs="Arial" w:eastAsia="Arial" w:hAnsi="Arial"/>
          <w:sz w:val="18"/>
          <w:szCs w:val="18"/>
          <w:color w:val="auto"/>
        </w:rPr>
        <w:t>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261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Sheldon L. Koenig</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00" w:val="left"/>
          <w:tab w:leader="none" w:pos="5980" w:val="left"/>
        </w:tabs>
        <w:rPr>
          <w:sz w:val="20"/>
          <w:szCs w:val="20"/>
          <w:color w:val="auto"/>
        </w:rPr>
      </w:pPr>
      <w:r>
        <w:rPr>
          <w:rFonts w:ascii="Arial" w:cs="Arial" w:eastAsia="Arial" w:hAnsi="Arial"/>
          <w:sz w:val="18"/>
          <w:szCs w:val="18"/>
          <w:color w:val="auto"/>
        </w:rPr>
        <w:t>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261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Benjamin Halladay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320" w:top="125" w:right="6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Esperion Therapeutics, Inc.;</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8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20"/>
              <w:spacing w:after="0"/>
              <w:rPr>
                <w:sz w:val="20"/>
                <w:szCs w:val="20"/>
                <w:color w:val="auto"/>
              </w:rPr>
            </w:pPr>
            <w:r>
              <w:rPr>
                <w:rFonts w:ascii="Arial" w:cs="Arial" w:eastAsia="Arial" w:hAnsi="Arial"/>
                <w:sz w:val="18"/>
                <w:szCs w:val="18"/>
                <w:color w:val="auto"/>
              </w:rPr>
              <w:t>August 1, 2023</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Sheldon L. Koenig</w:t>
            </w:r>
          </w:p>
        </w:tc>
      </w:tr>
      <w:tr>
        <w:trPr>
          <w:trHeight w:val="222"/>
        </w:trPr>
        <w:tc>
          <w:tcPr>
            <w:tcW w:w="5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Sheldon L. Koenig</w:t>
            </w:r>
          </w:p>
        </w:tc>
      </w:tr>
      <w:tr>
        <w:trPr>
          <w:trHeight w:val="230"/>
        </w:trPr>
        <w:tc>
          <w:tcPr>
            <w:tcW w:w="5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43"/>
        </w:trPr>
        <w:tc>
          <w:tcPr>
            <w:tcW w:w="54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Benjamin Halladay,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Esperion Therapeutics, Inc.;</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8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40" w:type="dxa"/>
            <w:vAlign w:val="bottom"/>
          </w:tcPr>
          <w:p>
            <w:pPr>
              <w:ind w:left="120"/>
              <w:spacing w:after="0"/>
              <w:rPr>
                <w:sz w:val="20"/>
                <w:szCs w:val="20"/>
                <w:color w:val="auto"/>
              </w:rPr>
            </w:pPr>
            <w:r>
              <w:rPr>
                <w:rFonts w:ascii="Arial" w:cs="Arial" w:eastAsia="Arial" w:hAnsi="Arial"/>
                <w:sz w:val="18"/>
                <w:szCs w:val="18"/>
                <w:color w:val="auto"/>
              </w:rPr>
              <w:t>August 1, 2023</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Halladay</w:t>
            </w:r>
          </w:p>
        </w:tc>
      </w:tr>
      <w:tr>
        <w:trPr>
          <w:trHeight w:val="222"/>
        </w:trPr>
        <w:tc>
          <w:tcPr>
            <w:tcW w:w="5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Benjamin Halladay</w:t>
            </w:r>
          </w:p>
        </w:tc>
      </w:tr>
      <w:tr>
        <w:trPr>
          <w:trHeight w:val="230"/>
        </w:trPr>
        <w:tc>
          <w:tcPr>
            <w:tcW w:w="5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43"/>
        </w:trPr>
        <w:tc>
          <w:tcPr>
            <w:tcW w:w="5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In connection with the quarterly report on Form 10-Q of Esperion Therapeutics, Inc. (the “Company”) for the period ended June 30, 2023,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49" w:lineRule="exact"/>
        <w:rPr>
          <w:sz w:val="20"/>
          <w:szCs w:val="20"/>
          <w:color w:val="auto"/>
        </w:rPr>
      </w:pPr>
    </w:p>
    <w:p>
      <w:pPr>
        <w:ind w:left="660" w:right="34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tcPr>
          <w:p>
            <w:pPr>
              <w:ind w:left="120"/>
              <w:spacing w:after="0"/>
              <w:rPr>
                <w:sz w:val="20"/>
                <w:szCs w:val="20"/>
                <w:color w:val="auto"/>
              </w:rPr>
            </w:pPr>
            <w:r>
              <w:rPr>
                <w:rFonts w:ascii="Arial" w:cs="Arial" w:eastAsia="Arial" w:hAnsi="Arial"/>
                <w:sz w:val="18"/>
                <w:szCs w:val="18"/>
                <w:color w:val="auto"/>
              </w:rPr>
              <w:t>August 1, 2023</w:t>
            </w: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Sheldon L. Koenig</w:t>
            </w:r>
          </w:p>
        </w:tc>
      </w:tr>
      <w:tr>
        <w:trPr>
          <w:trHeight w:val="222"/>
        </w:trPr>
        <w:tc>
          <w:tcPr>
            <w:tcW w:w="5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Sheldon L. Koenig</w:t>
            </w:r>
          </w:p>
        </w:tc>
      </w:tr>
      <w:tr>
        <w:trPr>
          <w:trHeight w:val="230"/>
        </w:trPr>
        <w:tc>
          <w:tcPr>
            <w:tcW w:w="5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43"/>
        </w:trPr>
        <w:tc>
          <w:tcPr>
            <w:tcW w:w="5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5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Halladay</w:t>
            </w:r>
          </w:p>
        </w:tc>
      </w:tr>
      <w:tr>
        <w:trPr>
          <w:trHeight w:val="222"/>
        </w:trPr>
        <w:tc>
          <w:tcPr>
            <w:tcW w:w="5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Benjamin Halladay</w:t>
            </w:r>
          </w:p>
        </w:tc>
      </w:tr>
      <w:tr>
        <w:trPr>
          <w:trHeight w:val="230"/>
        </w:trPr>
        <w:tc>
          <w:tcPr>
            <w:tcW w:w="5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43"/>
        </w:trPr>
        <w:tc>
          <w:tcPr>
            <w:tcW w:w="5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59" Type="http://schemas.openxmlformats.org/officeDocument/2006/relationships/hyperlink" Target="https://www.sec.gov/Archives/edgar/data/1434868/000104746913006896/a2215641zex-3_2.htm" TargetMode="External"/><Relationship Id="rId60" Type="http://schemas.openxmlformats.org/officeDocument/2006/relationships/hyperlink" Target="https://www.sec.gov/Archives/edgar/data/1434868/000162828022015488/exhibit31.htm" TargetMode="External"/><Relationship Id="rId61" Type="http://schemas.openxmlformats.org/officeDocument/2006/relationships/hyperlink" Target="https://www.sec.gov/Archives/edgar/data/1434868/000162828022025245/exhibit31certificateofvali.htm" TargetMode="External"/><Relationship Id="rId62" Type="http://schemas.openxmlformats.org/officeDocument/2006/relationships/hyperlink" Target="https://www.sec.gov/Archives/edgar/data/1434868/000162828023022276/exhibit3162023.htm" TargetMode="External"/><Relationship Id="rId63" Type="http://schemas.openxmlformats.org/officeDocument/2006/relationships/hyperlink" Target="https://www.sec.gov/Archives/edgar/data/1434868/000162828021008918/ex31-secondamendedandresta.htm" TargetMode="External"/><Relationship Id="rId64" Type="http://schemas.openxmlformats.org/officeDocument/2006/relationships/hyperlink" Target="https://www.sec.gov/Archives/edgar/data/1434868/000104746913006896/a2215641zex-4_1.htm" TargetMode="External"/><Relationship Id="rId65" Type="http://schemas.openxmlformats.org/officeDocument/2006/relationships/hyperlink" Target="https://www.sec.gov/Archives/edgar/data/1434868/000162828023022276/exhibit1016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2023-08-01T08:01:34Z</dcterms:created>
  <dcterms:modified xsi:type="dcterms:W3CDTF">2023-08-01T08:01:34Z</dcterms:modified>
</cp:coreProperties>
</file>