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240"/>
        <w:spacing w:after="0" w:line="25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10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x</w:t>
      </w:r>
    </w:p>
    <w:p>
      <w:pPr>
        <w:spacing w:after="0" w:line="8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86"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988" w:right="339" w:bottom="1440" w:gutter="0" w:footer="0" w:header="0"/>
          <w:type w:val="continuous"/>
        </w:sectPr>
      </w:pPr>
    </w:p>
    <w:p>
      <w:pPr>
        <w:spacing w:after="0" w:line="113"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288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August 8, 2025, there were 201,622,825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398780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gridSpan w:val="10"/>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10"/>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00" w:type="dxa"/>
            <w:vAlign w:val="bottom"/>
            <w:gridSpan w:val="3"/>
          </w:tcPr>
          <w:p>
            <w:pPr>
              <w:spacing w:after="0"/>
              <w:rPr>
                <w:sz w:val="24"/>
                <w:szCs w:val="24"/>
                <w:color w:val="auto"/>
              </w:rPr>
            </w:pPr>
          </w:p>
        </w:tc>
        <w:tc>
          <w:tcPr>
            <w:tcW w:w="3240" w:type="dxa"/>
            <w:vAlign w:val="bottom"/>
            <w:tcBorders>
              <w:top w:val="single" w:sz="8" w:color="0000FF"/>
            </w:tcBorders>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Balance Sheets at June 30, 2025 and December 31, 2024</w:t>
            </w:r>
          </w:p>
        </w:tc>
        <w:tc>
          <w:tcPr>
            <w:tcW w:w="4500" w:type="dxa"/>
            <w:vAlign w:val="bottom"/>
            <w:gridSpan w:val="7"/>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Income for the three and six month periods ended June 30, 2025</w:t>
            </w:r>
          </w:p>
        </w:tc>
        <w:tc>
          <w:tcPr>
            <w:tcW w:w="11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8380" w:type="dxa"/>
            <w:vAlign w:val="bottom"/>
            <w:tcBorders>
              <w:top w:val="single" w:sz="8" w:color="0000FF"/>
            </w:tcBorders>
            <w:gridSpan w:val="14"/>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and six month periods ended June 30, 2025 and 2024</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for the six month periods ended June 30, 2025 and 2024</w:t>
            </w:r>
          </w:p>
        </w:tc>
        <w:tc>
          <w:tcPr>
            <w:tcW w:w="14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62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2"/>
          </w:tcPr>
          <w:p>
            <w:pPr>
              <w:spacing w:after="0"/>
              <w:rPr>
                <w:sz w:val="24"/>
                <w:szCs w:val="24"/>
                <w:color w:val="auto"/>
              </w:rPr>
            </w:pP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20" w:type="dxa"/>
            <w:vAlign w:val="bottom"/>
            <w:tcBorders>
              <w:left w:val="single" w:sz="8" w:color="0000FF"/>
            </w:tcBorders>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5.</w:t>
            </w:r>
          </w:p>
        </w:tc>
        <w:tc>
          <w:tcPr>
            <w:tcW w:w="95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3"/>
          </w:tcPr>
          <w:p>
            <w:pPr>
              <w:spacing w:after="0"/>
              <w:rPr>
                <w:sz w:val="24"/>
                <w:szCs w:val="24"/>
                <w:color w:val="auto"/>
              </w:rPr>
            </w:pPr>
          </w:p>
        </w:tc>
        <w:tc>
          <w:tcPr>
            <w:tcW w:w="8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0" w:type="dxa"/>
            <w:vAlign w:val="bottom"/>
          </w:tcPr>
          <w:p>
            <w:pPr>
              <w:spacing w:after="0"/>
              <w:rPr>
                <w:sz w:val="24"/>
                <w:szCs w:val="24"/>
                <w:color w:val="auto"/>
              </w:rPr>
            </w:pPr>
          </w:p>
        </w:tc>
        <w:tc>
          <w:tcPr>
            <w:tcW w:w="892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spacing w:after="0" w:line="18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80,142</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inventory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337,998</w:t>
            </w:r>
          </w:p>
        </w:tc>
      </w:t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3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sale liability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246,233</w:t>
            </w:r>
          </w:p>
        </w:tc>
      </w:tr>
      <w:tr>
        <w:trPr>
          <w:trHeight w:val="183"/>
        </w:trPr>
        <w:tc>
          <w:tcPr>
            <w:tcW w:w="8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sale liability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246,024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732,543</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$0.001 par value; 480,000,000 shares authorized as of June 30, 2025 and December 31, 2024;</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202,149,464 shares issued at June 30, 2025 and 197,846,661 shares issued at December 31, 2024</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1,267,109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June 30, 2025 and December 31, 2024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(1,654,209)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(1,601,029)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95"/>
        </w:trPr>
        <w:tc>
          <w:tcPr>
            <w:tcW w:w="4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53,058</w:t>
            </w:r>
          </w:p>
        </w:tc>
      </w:tr>
      <w:tr>
        <w:trPr>
          <w:trHeight w:val="230"/>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158,511</w:t>
            </w:r>
          </w:p>
        </w:tc>
      </w:tr>
      <w:tr>
        <w:trPr>
          <w:trHeight w:val="22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211,569</w:t>
            </w:r>
          </w:p>
        </w:tc>
      </w:tr>
      <w:tr>
        <w:trPr>
          <w:trHeight w:val="250"/>
        </w:trPr>
        <w:tc>
          <w:tcPr>
            <w:tcW w:w="4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w:t>
            </w:r>
          </w:p>
        </w:tc>
      </w:tr>
      <w:tr>
        <w:trPr>
          <w:trHeight w:val="230"/>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86,173</w:t>
            </w:r>
          </w:p>
        </w:tc>
      </w:tr>
      <w:tr>
        <w:trPr>
          <w:trHeight w:val="22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136,721</w:t>
            </w:r>
          </w:p>
        </w:tc>
      </w:tr>
      <w:tr>
        <w:trPr>
          <w:trHeight w:val="250"/>
        </w:trPr>
        <w:tc>
          <w:tcPr>
            <w:tcW w:w="4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74,848</w:t>
            </w:r>
          </w:p>
        </w:tc>
      </w:tr>
      <w:tr>
        <w:trPr>
          <w:trHeight w:val="270"/>
        </w:trPr>
        <w:tc>
          <w:tcPr>
            <w:tcW w:w="4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(53,235)</w:t>
            </w:r>
          </w:p>
        </w:tc>
      </w:tr>
      <w:tr>
        <w:trPr>
          <w:trHeight w:val="23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48"/>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4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4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4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197,546,239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188,793,816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196,841,011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179,026,191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8"/>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118,210,315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(454,994)</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stock units and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90,672</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187,855,098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479,921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194,625,408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780" w:type="dxa"/>
            <w:vAlign w:val="bottom"/>
          </w:tcPr>
          <w:p>
            <w:pPr>
              <w:spacing w:after="0"/>
              <w:rPr>
                <w:sz w:val="24"/>
                <w:szCs w:val="24"/>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4"/>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195,852,463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(388,722)</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196,660,371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1,270,074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(1,641,484)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(426,211)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184"/>
        </w:trPr>
        <w:tc>
          <w:tcPr>
            <w:tcW w:w="27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ATM program, net of issuance</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2,665,505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200,155,266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5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4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Esperion Therapeutics, Inc.</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loss on extinguishment of debt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royalty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Paid-in-kind interest on 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revenue interest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royalty sale liability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1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1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revenue interest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revenue interest liability</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(343,750)</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royalty sale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304,656</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90,672</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ATM program, net of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 net of issuance costs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82,248</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issuance costs not yet paid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sale issuance costs not yet paid</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not yet paid</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right of use asset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08"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("CVD") and are struggling with elevated low density lipoprotein cholesterol ("LDL-C"). Through commercial execution, international partnerships and collaborations, and advancement of its pre-clinical pipeline, the Company continues to evolve into a leading global biopharmaceutical company.</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The Company's products were approved by the FDA, the European Commission ("EC") and Swiss Agency for Therapeutic Products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("Otsuka"), Esperion’s Japanese collaborator, announced that the primary endpoint of LDL-C reduction from baseline at Week 12 was achieved with statistical significance in the Phase 3 clinical trial in Japan for bempedoic acid as a treatment for hypercholesterolemia. Otsuka filed a New Drug Application ("NDA") in Japan in November 2024, with expected approval and National Health Insurance ("NHI") pricing in the second half of 2025. The Company filed supplemental NDAs for product approvals in Canada in November 2024, with expected approval in the fourth quarter of 2025. The Company's collaboration partners filed in Israel in March 2025, with expected approval in the first half of 2026, and in Australia in July 2025, with expected approval in the second half of 2026.</w:t>
      </w:r>
    </w:p>
    <w:p>
      <w:pPr>
        <w:spacing w:after="0" w:line="2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and successfully manage its management, commercial and scientific staff; and finance its operations with an ultimate goal of achieving profitable operations.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immediate future. While management believes current cash resources and future cash received from the Company's net product sales and collaboration agreements with Daiichi Sankyo Europe GmbH ("DSE"),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2024, and the notes thereto, which are included in the Company’s Annual Report on Form 10-K for the year ended December 31, 2024. The results of operations for the interim periods are not necessarily indicative of the results to be expected for a full year, any other interim periods or any future year or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76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6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in the United States requires management to make estimates and assumptions that affect the reported amounts of assets, liabilities, net revenues, expenses and related disclosures.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which is the business of researching, developing and commercializing therapies for the treatment of patients with elevated LDL-C.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The Company's net product sales are with these customers. As of June 30, 2025 and December 31, 2024, ten customers accounted for all of the Company's net trade receivables. As of June 30, 2025 and December 31, 2024, three customers held approximately 99% of the Company's trade receivables associated with net product sales. For the six months ended June 30, 2025 and 2024, three customers accounted for approximately 98% of gross sales of NEXLETOL and NEXLIZET.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 in the United States.</w:t>
      </w:r>
    </w:p>
    <w:p>
      <w:pPr>
        <w:spacing w:after="0" w:line="19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w:t>
      </w:r>
    </w:p>
    <w:p>
      <w:pPr>
        <w:spacing w:after="0" w:line="17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 On May 22, 2024, the Company announced that the EC approved the label update of both NILEMDO and NUSTENDI as treatments for hypercholesterolemia and to reduce the risk of adverse cardiovascular events. The EC’s decisions to update the labels of bempedoic acid and bempedoic acid / ezetimibe FDC are based on the positive CLEAR Outcomes trial results and make them the first and only LDL-C lowering treatments indicated for primary and secondary prevention of cardiovascular events. NILEMDO and NUSTENDI are approved to reduce cardiovascular risk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with or at high risk for atherosclerotic cardiovascular disease</w:t>
      </w:r>
      <w:r>
        <w:rPr>
          <w:rFonts w:ascii="Times New Roman" w:cs="Times New Roman" w:eastAsia="Times New Roman" w:hAnsi="Times New Roman"/>
          <w:sz w:val="21"/>
          <w:szCs w:val="21"/>
          <w:color w:val="008080"/>
        </w:rPr>
        <w:t>.</w:t>
      </w: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1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Product sales, net totaled $40.3 million and $75.2 million, respectively, for the three and six months ended June 30, 2025, and $28.3 million and $53.1 million, respectively, for the three and six months ended June 30, 2024.</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Liabilities for co-pay assistance, expected product returns, rebates, and distributor fees are classified as “Accrued variable consideration” in the condensed balance sheets. Discounts, such as prompt pay discounts, and chargebacks are recorded as a reduction to accounts receivable in the condensed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6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forecasted royalty sales from its collaboration partner, historical experience, third-party forecasts and current market conditions.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and prospectively recognize the related non-cash interest expense. Royalty revenue is recognized and the related liability reduced as earned.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p>
    <w:p>
      <w:pPr>
        <w:spacing w:after="0" w:line="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requires disaggregated information about a reporting entity's effective tax rate reconciliation,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information related to income taxes paid to enhance the transparency and decision usefulness of income tax disclosures. This ASU will be effective for the annual period ending December 31, 2025. The Company is currently evaluating the impacts of adoption of this ASU.</w:t>
      </w:r>
    </w:p>
    <w:p>
      <w:pPr>
        <w:spacing w:after="0" w:line="20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which requires additional disclosure of the nature of expenses included in the income statement. The primary goal is to improve the decision usefulness of expense information on public business entities' income statements through the disaggregation of relevant expense captions in the notes of the financial statements. This ASU will be effective for annual periods beginning after December 15, 2026, and interim periods after December 15, 2027. The Company is currently evaluating the timing and impacts of adoption of this ASU.</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2024.</w:t>
      </w:r>
    </w:p>
    <w:p>
      <w:pPr>
        <w:spacing w:after="0" w:line="158" w:lineRule="exact"/>
        <w:rPr>
          <w:sz w:val="20"/>
          <w:szCs w:val="20"/>
          <w:color w:val="auto"/>
        </w:rPr>
      </w:pPr>
    </w:p>
    <w:p>
      <w:pPr>
        <w:ind w:right="8400" w:firstLine="8"/>
        <w:spacing w:after="0" w:line="495"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amended on June 18, 2020, and further</w:t>
      </w:r>
    </w:p>
    <w:p>
      <w:pPr>
        <w:spacing w:after="0" w:line="3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amended on January 2, 2024 (as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21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2024, the Company entered into a settlement agreement (the "Settlement Agreement") with DSE to amicably resolve and dismiss their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dispute in the Southern District of New York. Under the Settlement Agreement, DSE has agreed to pay the Company an aggregate of</w:t>
      </w:r>
    </w:p>
    <w:p>
      <w:pPr>
        <w:spacing w:after="0" w:line="234" w:lineRule="auto"/>
        <w:rPr>
          <w:sz w:val="20"/>
          <w:szCs w:val="20"/>
          <w:color w:val="auto"/>
        </w:rPr>
      </w:pPr>
      <w:r>
        <w:rPr>
          <w:rFonts w:ascii="Times New Roman" w:cs="Times New Roman" w:eastAsia="Times New Roman" w:hAnsi="Times New Roman"/>
          <w:sz w:val="18"/>
          <w:szCs w:val="18"/>
          <w:color w:val="auto"/>
        </w:rPr>
        <w:t>$125.0 million, including (1) a $100.0 million payment within 15 business days of the effective date of the Settlement Agreement and (2) a $25.0 million</w:t>
      </w:r>
    </w:p>
    <w:p>
      <w:pPr>
        <w:spacing w:after="0" w:line="235" w:lineRule="auto"/>
        <w:rPr>
          <w:sz w:val="20"/>
          <w:szCs w:val="20"/>
          <w:color w:val="auto"/>
        </w:rPr>
      </w:pPr>
      <w:r>
        <w:rPr>
          <w:rFonts w:ascii="Times New Roman" w:cs="Times New Roman" w:eastAsia="Times New Roman" w:hAnsi="Times New Roman"/>
          <w:sz w:val="18"/>
          <w:szCs w:val="18"/>
          <w:color w:val="auto"/>
        </w:rPr>
        <w:t>payment in the calendar quarter immediately following the calendar quarter in which the EMA renders a decision on the application that was filed with the</w:t>
      </w:r>
    </w:p>
    <w:p>
      <w:pPr>
        <w:spacing w:after="0" w:line="235" w:lineRule="auto"/>
        <w:rPr>
          <w:sz w:val="20"/>
          <w:szCs w:val="20"/>
          <w:color w:val="auto"/>
        </w:rPr>
      </w:pPr>
      <w:r>
        <w:rPr>
          <w:rFonts w:ascii="Times New Roman" w:cs="Times New Roman" w:eastAsia="Times New Roman" w:hAnsi="Times New Roman"/>
          <w:sz w:val="18"/>
          <w:szCs w:val="18"/>
          <w:color w:val="auto"/>
        </w:rPr>
        <w:t>EMA for a Type II(a) variation for the Company’s oral non-statin products marketed as NILEMDO (bempedoic acid) tablets and NUSTENDI (bempedoic</w:t>
      </w:r>
    </w:p>
    <w:p>
      <w:pPr>
        <w:spacing w:after="0" w:line="184" w:lineRule="auto"/>
        <w:rPr>
          <w:sz w:val="20"/>
          <w:szCs w:val="20"/>
          <w:color w:val="auto"/>
        </w:rPr>
      </w:pPr>
      <w:r>
        <w:rPr>
          <w:rFonts w:ascii="Times New Roman" w:cs="Times New Roman" w:eastAsia="Times New Roman" w:hAnsi="Times New Roman"/>
          <w:sz w:val="18"/>
          <w:szCs w:val="18"/>
          <w:color w:val="auto"/>
        </w:rPr>
        <w:t>acid and ezetimibe) tablets in Europe. Pursuant to the Settlement Agreement, also on January 2, 2024, the Company entered into a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Amendment (the</w:t>
      </w:r>
    </w:p>
    <w:p>
      <w:pPr>
        <w:spacing w:after="0" w:line="219" w:lineRule="auto"/>
        <w:rPr>
          <w:sz w:val="20"/>
          <w:szCs w:val="20"/>
          <w:color w:val="auto"/>
        </w:rPr>
      </w:pPr>
      <w:r>
        <w:rPr>
          <w:rFonts w:ascii="Times New Roman" w:cs="Times New Roman" w:eastAsia="Times New Roman" w:hAnsi="Times New Roman"/>
          <w:sz w:val="18"/>
          <w:szCs w:val="18"/>
          <w:color w:val="auto"/>
        </w:rPr>
        <w:t>“DSE Amendment”) to the License and Collaboration Agreement dated January 2, 2019 with DSE. The DSE Amendment grants DSE the exclusive rights</w:t>
      </w:r>
    </w:p>
    <w:p>
      <w:pPr>
        <w:spacing w:after="0" w:line="235" w:lineRule="auto"/>
        <w:rPr>
          <w:sz w:val="20"/>
          <w:szCs w:val="20"/>
          <w:color w:val="auto"/>
        </w:rPr>
      </w:pPr>
      <w:r>
        <w:rPr>
          <w:rFonts w:ascii="Times New Roman" w:cs="Times New Roman" w:eastAsia="Times New Roman" w:hAnsi="Times New Roman"/>
          <w:sz w:val="18"/>
          <w:szCs w:val="18"/>
          <w:color w:val="auto"/>
        </w:rPr>
        <w:t>for clinical development, regulatory activities, manufacture and commercialization of a bempedoic acid/ezetimibe/statin triple combination pill in the DSE</w:t>
      </w:r>
    </w:p>
    <w:p>
      <w:pPr>
        <w:spacing w:after="0" w:line="234" w:lineRule="auto"/>
        <w:rPr>
          <w:sz w:val="20"/>
          <w:szCs w:val="20"/>
          <w:color w:val="auto"/>
        </w:rPr>
      </w:pPr>
      <w:r>
        <w:rPr>
          <w:rFonts w:ascii="Times New Roman" w:cs="Times New Roman" w:eastAsia="Times New Roman" w:hAnsi="Times New Roman"/>
          <w:sz w:val="18"/>
          <w:szCs w:val="18"/>
          <w:color w:val="auto"/>
        </w:rPr>
        <w:t>Territory. Further, after a transition period, DSE will assume sole responsibility for the manufacture of NILEMDO and NUSTENDI for the DSE Territory.</w:t>
      </w:r>
    </w:p>
    <w:p>
      <w:pPr>
        <w:spacing w:after="0" w:line="235" w:lineRule="auto"/>
        <w:rPr>
          <w:sz w:val="20"/>
          <w:szCs w:val="20"/>
          <w:color w:val="auto"/>
        </w:rPr>
      </w:pPr>
      <w:r>
        <w:rPr>
          <w:rFonts w:ascii="Times New Roman" w:cs="Times New Roman" w:eastAsia="Times New Roman" w:hAnsi="Times New Roman"/>
          <w:sz w:val="18"/>
          <w:szCs w:val="18"/>
          <w:color w:val="auto"/>
        </w:rPr>
        <w:t>As of January 2, 2024, DSE has sole authority and control of regulatory communications with the EMA regarding the pending marketing authorization</w:t>
      </w:r>
    </w:p>
    <w:p>
      <w:pPr>
        <w:spacing w:after="0" w:line="235" w:lineRule="auto"/>
        <w:rPr>
          <w:sz w:val="20"/>
          <w:szCs w:val="20"/>
          <w:color w:val="auto"/>
        </w:rPr>
      </w:pPr>
      <w:r>
        <w:rPr>
          <w:rFonts w:ascii="Times New Roman" w:cs="Times New Roman" w:eastAsia="Times New Roman" w:hAnsi="Times New Roman"/>
          <w:sz w:val="18"/>
          <w:szCs w:val="18"/>
          <w:color w:val="auto"/>
        </w:rPr>
        <w:t>applications for NILEMDO and NUSTENDI. Pursuant to the DSE Amendment, the Company is entitled to receive one-time cash payments of up to</w:t>
      </w:r>
    </w:p>
    <w:p>
      <w:pPr>
        <w:spacing w:after="0" w:line="235" w:lineRule="auto"/>
        <w:rPr>
          <w:sz w:val="20"/>
          <w:szCs w:val="20"/>
          <w:color w:val="auto"/>
        </w:rPr>
      </w:pPr>
      <w:r>
        <w:rPr>
          <w:rFonts w:ascii="Times New Roman" w:cs="Times New Roman" w:eastAsia="Times New Roman" w:hAnsi="Times New Roman"/>
          <w:sz w:val="18"/>
          <w:szCs w:val="18"/>
          <w:color w:val="auto"/>
        </w:rPr>
        <w:t>$300.0 million upon the achievement of certain commercial milestones related to total net sales achievements in the DSE Territory. The Company is also</w:t>
      </w:r>
    </w:p>
    <w:p>
      <w:pPr>
        <w:spacing w:after="0"/>
        <w:rPr>
          <w:sz w:val="20"/>
          <w:szCs w:val="20"/>
          <w:color w:val="auto"/>
        </w:rPr>
      </w:pPr>
      <w:r>
        <w:rPr>
          <w:rFonts w:ascii="Times New Roman" w:cs="Times New Roman" w:eastAsia="Times New Roman" w:hAnsi="Times New Roman"/>
          <w:sz w:val="18"/>
          <w:szCs w:val="18"/>
          <w:color w:val="auto"/>
        </w:rPr>
        <w:t>entitled to receive tiered 15% to 25% royalties on net DSE Territory sales.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340" w:firstLine="243"/>
        <w:spacing w:after="0" w:line="250"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recognized collaboration revenue of approximately $41.0 million and $70.4 million, respectively, related to royalty revenue from DSE from the sales of NILEMDO and NUSTENDI, as well as the sales of bulk tablets and API to DSE pursuant to the supply agreement that was executed with DSE.</w:t>
      </w:r>
    </w:p>
    <w:p>
      <w:pPr>
        <w:spacing w:after="0" w:line="177" w:lineRule="exact"/>
        <w:rPr>
          <w:sz w:val="20"/>
          <w:szCs w:val="20"/>
          <w:color w:val="auto"/>
        </w:rPr>
      </w:pPr>
    </w:p>
    <w:p>
      <w:pPr>
        <w:ind w:right="20" w:firstLine="243"/>
        <w:spacing w:after="0" w:line="237"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Settlement Agreement was in the scope of ASC 606. The Company determined that significantly all the upfront payment of $100.0 million from the transaction price received under the Settlement Agreement qualified for revenue recognition as it related to settlement of performance obligations completed under the DSE Agreement, including: 1) the settlement of the disputed milestone, which relates to variable consideration for full satisfied performance obligations, and 2) the developmental rights for the triple combination pill. In May 2024, the Company recognized collaboration revenue for a milestone payment of $25 million based on the approval of updated labels for NILEMDO and NUSTENDI by the EMA and received the cash milestone payment in June 2024. In the three and six months ended June 30, 2024, the Company recognized collaboration revenue of $45.4 million and $158.4 million, respectively, made up of the regulatory milestones from the Settlement Agreement and EMA approval, royalty revenue from DSE and sales of bulk tablets to DSE pursuant to the supply agreement that was executed with DSE.</w:t>
      </w:r>
    </w:p>
    <w:p>
      <w:pPr>
        <w:spacing w:after="0" w:line="21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sales-based milestones. Additionally, the Company expects that any consideration related to sales-based milestones will be recognized when the subsequent sales occur.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spacing w:after="0" w:line="16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Pursuant to the Otsuka Agreement, the consideration consists of a $60.0 million upfront cash payment and the Company will be eligible to receive additional payments of up to $450.0 million if certain regulatory and commercial milestones are achieved by Otsuka. The Company received $10.0 million in the year ended December 31, 2024, related to a milestone payment upon first Japanese New Drug Application ("JNDA") submissions in the Otsuka Territory. The potential future milestone payments include up to $10.0 million upon first JNDA approval in the Otsuka Territory, up to $70.0 million upon the first NHI Price Listing for NEXLETOL in the Otsuka Territory, up to $50.0 million upon the achievement of the primary major adverse cardiovascular events (“MACE”) in the CLEAR Outcomes study and inclusion of the CV risk reduction indication in the U.S. label, depending on the range of relative risk reduction in the CLEAR Outcomes study, payable upon approval and pricing in Japan. In addition, the Company is eligible to receive additional sales milestone payments up to $310.0 million related to total net sales achievements for Otsuka in Japan. Finally, the Company is entitled to receive tiered fifteen percent (15%) to thirty percent (30%) royalties on net sales in Japan.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Otsuka Agreement was in the scope of ASC 606. In the three and six months ended June 30, 2025, the Company did not have any collaboration revenue related to the Otsuka Agreement. In the three and six months ended June 30, 2024, the Company recognized collaboration revenue of approximately $0.1 million related to sales of bulk tablets to Otsuka pursuant to the supply agreement that was executed with Otsuka.</w:t>
      </w:r>
    </w:p>
    <w:p>
      <w:pPr>
        <w:spacing w:after="0" w:line="180"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DS (the "DS Agreement"). Pursuant to the DS Agreement, the Company granted DS exclusive rights to develop and commercialize bempedoic acid and the bempedoic acid / ezetimibe combination tablet in South Korea, Taiwan, Hong Kong, Thailand, Vietnam, Brazil, Macao, Cambodia and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 (collectively, the "DS Territory").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spacing w:after="0" w:line="198"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41" w:lineRule="exact"/>
        <w:rPr>
          <w:sz w:val="20"/>
          <w:szCs w:val="20"/>
          <w:color w:val="auto"/>
        </w:rPr>
      </w:pPr>
    </w:p>
    <w:p>
      <w:pPr>
        <w:ind w:right="120" w:firstLine="243"/>
        <w:spacing w:after="0" w:line="245" w:lineRule="auto"/>
        <w:rPr>
          <w:sz w:val="20"/>
          <w:szCs w:val="20"/>
          <w:color w:val="auto"/>
        </w:rPr>
      </w:pPr>
      <w:r>
        <w:rPr>
          <w:rFonts w:ascii="Times New Roman" w:cs="Times New Roman" w:eastAsia="Times New Roman" w:hAnsi="Times New Roman"/>
          <w:sz w:val="18"/>
          <w:szCs w:val="18"/>
          <w:color w:val="auto"/>
        </w:rPr>
        <w:t>The Company recognized $0.1 million and $0.5 million of collaboration revenue in the three and six months ended June 30, 2025, respectively, related to royalty revenue from DS and sales of bulk tablets per the agreement with DS. Aside from that discussed in the "DSE Agreement Terms" section above, the Company recognized less than $0.1 million of collaboration revenue in the three and six months ended June 30, 2024 related to royalty revenue from DS.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26, 2025, the Company entered into a license and distribution agreement with Seqirus Pty Ltd ("CSL Seqirus") for the rights to commercialize NEXLETOL and NEXLIZET in Australia and New Zealand. Under the terms of the agreement, the Company will receive upfront and near-term milestone payments and will be responsible for supplying finished product to CSL Seqirus. CSL Seqirus will be responsible for commercialization, including regulatory approval, reimbursement and marketing. During the three months ended June 30, 2025, the Company did not have any collaboration revenue related to the agreement. During the six months ended June 30, 2025, the Company recognized approximately $0.3 million of collaboration revenue related to the upfront milestone payment.</w:t>
      </w:r>
    </w:p>
    <w:p>
      <w:pPr>
        <w:spacing w:after="0" w:line="20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On May 7, 2025, the Company entered into a license and distribution agreement with HLS Therapeutics Inc. (“HLS”) for the exclusive rights to commercialize NEXLETOL and NEXLIZET in Canada. Under the terms of the agreement, the Company will receive upfront and near-term milestone payments along with tiered royalties on product sales. The Company will be responsible for supplying finished product to HLS at a profitable transfer price. HLS will be responsible for commercialization, including reimbursement and marketing. During the three and six months ended June 30, 2025, the Company recognized $1.0 million of collaboration revenue related to the upfront milestone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0"/>
        </w:trPr>
        <w:tc>
          <w:tcPr>
            <w:tcW w:w="7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84,584</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223"/>
        </w:trPr>
        <w:tc>
          <w:tcPr>
            <w:tcW w:w="7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94,491</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reserves were $4.5 million and $0.3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ANDA Litigation</w:t>
      </w:r>
    </w:p>
    <w:p>
      <w:pPr>
        <w:spacing w:after="0" w:line="24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19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Hetero USA Inc. (along with its affiliates, collectively, “Hetero USA”); Micro Labs USA Inc. (along with its affiliate, collectively, “Micro Labs”);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subsequently reached settlement agreements with Micro Labs, Hetero USA and Accord Healthcare Inc. in May, June and July 2025,</w:t>
      </w:r>
    </w:p>
    <w:p>
      <w:pPr>
        <w:spacing w:after="0" w:line="36"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respectively. Each settlement agreement resolved the patent litigation brought by the Company against the particular ANDA Filer, each of which has agreed not to market a generic version of NEXLETOL in the United States prior to April 19, 2040, unless certain circumstances customarily included in these types of agreements occur.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pending patent litigation against the remaining defendants is ongoing, and there can be no assurance whether such ongoing patent litigation will allow</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 generic version of NEXLETOL and/or NEXLIZET, as applicable, to be marketed in the U.S. prior to April 19, 2040. The trial is anticipated to begin no earlier than January 2027, but no trial date has been set.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18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other income, net in the statements of operations includes interest income on cash equivalents of $0.6 million and $1.7 million, respectively. During the three and six months ended June 30, 2024, other income, net in the statements of operations includes interest income on cash equivalents of $2.4 million and $4.8 million, respectively. During the three and six months ended June 30, 2025 and 2024, there was no accretion of premiums and discounts on investments.</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income (loss) to other income in the statements of operations during the three and six months ended June 30, 2025 and 2024.</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2025 and 2024, there were no allowances for credit losses and all unrealized gains (losses) for available-for-sale securities were recognized in accumulated other comprehensive income (loss). As of June 30, 2025, the Company had no accrued interest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1 inputs: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prices for identical assets or liabilities in active markets;</w:t>
      </w:r>
    </w:p>
    <w:p>
      <w:pPr>
        <w:spacing w:after="0" w:line="196" w:lineRule="exact"/>
        <w:rPr>
          <w:sz w:val="20"/>
          <w:szCs w:val="20"/>
          <w:color w:val="auto"/>
        </w:rPr>
      </w:pPr>
    </w:p>
    <w:p>
      <w:pPr>
        <w:sectPr>
          <w:pgSz w:w="11900" w:h="16838" w:orient="portrait"/>
          <w:cols w:equalWidth="0" w:num="2">
            <w:col w:w="1300" w:space="720"/>
            <w:col w:w="922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2 inputs:</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 are observable or can be corroborated by market data; and</w:t>
      </w:r>
    </w:p>
    <w:p>
      <w:pPr>
        <w:spacing w:after="0" w:line="149" w:lineRule="exact"/>
        <w:rPr>
          <w:sz w:val="20"/>
          <w:szCs w:val="20"/>
          <w:color w:val="auto"/>
        </w:rPr>
      </w:pPr>
    </w:p>
    <w:p>
      <w:pPr>
        <w:sectPr>
          <w:pgSz w:w="11900" w:h="16838" w:orient="portrait"/>
          <w:cols w:equalWidth="0" w:num="2">
            <w:col w:w="1300" w:space="720"/>
            <w:col w:w="922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3 inputs:</w:t>
      </w:r>
    </w:p>
    <w:p>
      <w:pPr>
        <w:spacing w:after="0" w:line="20" w:lineRule="exact"/>
        <w:rPr>
          <w:sz w:val="20"/>
          <w:szCs w:val="20"/>
          <w:color w:val="auto"/>
        </w:rPr>
      </w:pPr>
      <w:r>
        <w:rPr>
          <w:sz w:val="20"/>
          <w:szCs w:val="20"/>
          <w:color w:val="auto"/>
        </w:rPr>
        <w:br w:type="column"/>
      </w:r>
    </w:p>
    <w:p>
      <w:pPr>
        <w:ind w:right="240"/>
        <w:spacing w:after="0" w:line="250" w:lineRule="auto"/>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 that market participants would use when pricing the asset or liability.</w:t>
      </w:r>
    </w:p>
    <w:p>
      <w:pPr>
        <w:spacing w:after="0" w:line="68" w:lineRule="exact"/>
        <w:rPr>
          <w:sz w:val="20"/>
          <w:szCs w:val="20"/>
          <w:color w:val="auto"/>
        </w:rPr>
      </w:pPr>
    </w:p>
    <w:p>
      <w:pPr>
        <w:sectPr>
          <w:pgSz w:w="11900" w:h="16838" w:orient="portrait"/>
          <w:cols w:equalWidth="0" w:num="2">
            <w:col w:w="1300" w:space="720"/>
            <w:col w:w="9220"/>
          </w:cols>
          <w:pgMar w:left="320" w:top="121"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Revenue Interest Purchase Agreement</w:t>
      </w:r>
    </w:p>
    <w:p>
      <w:pPr>
        <w:spacing w:after="0" w:line="229"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On June 26, 2019, the Company entered into a Revenue Interest Purchase Agreement ("RIPA") with Eiger III SA LLC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consideration for such payments, the Purchasers had a right to receive certain revenue interests (the “Revenue Interests”) from the Company based upon net sales of the Company’s certain products, once approved, which were tiered payments initially ranging from 2.5% to 7.5% of the Company’s net sales in the covered territory (the “Covered Territory”); provided that if annual net sales equaled or exceeded the Sales Threshold and if the Purchasers received 100% of their invested capital by December 31, 2024, the revenue interest rate would be decreased to a single rate of 0.4% of the Company’s net sales in the Covered Territory beginning on January 1, 2025. If the Third Payment was drawn down by the Company, the applicable royalty rates would increase by one-third. The Covered Territory was the United States, but was subject to expand to include the world-wide net sales if the Company’s annual U.S. net sales were less than $350.0 million for the year ended December 31, 2021. The U.S. net sales milestone thresholds are not to be taken as financial guidance. The Purchasers’ rights to receive the Revenue Interests would terminate on the date on which the Purchasers received Revenue Interests payments of 195% of the then aggregate purchase price (the “Cumulative Purchaser Payments”) paid to the Company, unless the RIPA were terminated earlier.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w:t>
      </w:r>
    </w:p>
    <w:p>
      <w:pPr>
        <w:spacing w:after="0" w:line="194"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Since the Specified Net Revenue for the calendar quarter ended September 30, 2021 did not exceed</w:t>
      </w:r>
    </w:p>
    <w:p>
      <w:pPr>
        <w:spacing w:after="0" w:line="1"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color w:val="auto"/>
        </w:rPr>
        <w:t>$15.0 million, the Company deposited $50.0 million in a deposit account subject to a block account control agreement, which was classified as restricted cash on the balance sheets.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23, 2022, the Company entered into Waiver and Amendment No. 3 to Revenue Interest Purchase Agreement and Amendment No. 2 to Security Agreement (the “RIPA Amendment 3”). Pursuant to the RIPA Amendment 3, among other things, (a) the Company agreed to make a one-time partial call payment with regards to the Revenue Interests (as defined in the RIPA) in an amount equal to $50.0 million from the restricted cash account (the “Partial Call”), (b) the amount of the Cumulative Purchaser Payments (as defined in the RIPA) was reduced to $177.8 million, and (c) the Purchasers and Purchaser Agent waived certain claimed defaults, breaches and Put Option Events under the RIPA and other related documents that may have occurred as a result of the Company’s opening of a new bank account.</w:t>
      </w:r>
    </w:p>
    <w:p>
      <w:pPr>
        <w:spacing w:after="0" w:line="17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On June 27, 2024, the Company repurchased Revenue Interests outstanding under the RIPA and satisfied all other Obligations (as defined in the RIPA) owed to the Purchasers and the Purchaser Agent by paying to the Purchaser Agent, for the benefit of the Purchasers, a payment in cash of $343.8 million</w:t>
      </w:r>
    </w:p>
    <w:p>
      <w:pPr>
        <w:ind w:right="20"/>
        <w:spacing w:after="0" w:line="232" w:lineRule="auto"/>
        <w:rPr>
          <w:sz w:val="20"/>
          <w:szCs w:val="20"/>
          <w:color w:val="auto"/>
        </w:rPr>
      </w:pPr>
      <w:r>
        <w:rPr>
          <w:rFonts w:ascii="Times New Roman" w:cs="Times New Roman" w:eastAsia="Times New Roman" w:hAnsi="Times New Roman"/>
          <w:sz w:val="18"/>
          <w:szCs w:val="18"/>
          <w:color w:val="auto"/>
        </w:rPr>
        <w:t>(the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17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In connection with the termination of the RIPA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recorded a loss on debt extinguishment of $53.2 million in the loss on extinguishment of debt line item of the Condensed Statements of Operations and Comprehensive Loss for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connection with the termination of the RIPA, as of December 31,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was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w:t>
      </w:r>
    </w:p>
    <w:p>
      <w:pPr>
        <w:spacing w:after="0" w:line="1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recorded no interest expense related to this arrangement for the three and six months ended June 30, 2025, and approximately $10.6 million and $21.6 million, respectively in interest expense related to this arrangement for the three and six months ended June 30,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Sale of Future Royalties</w:t>
      </w:r>
    </w:p>
    <w:p>
      <w:pPr>
        <w:spacing w:after="0" w:line="216"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On June 27, 2024, the Company entered into the Purchase Agreement with OCM IP Healthcare Portfolio LP ("the Purchaser").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spacing w:after="0" w:line="2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 xml:space="preserve">The Company evaluated the arrangement and determined that the proceeds from the sale of future royalties should be treated as a debt instrument according to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of forecasted royalty sales. The Company evaluates the interest rate quarterly based on its expectations of forecasted royalty sales from its license partner, historical experience and current market conditions utilizing the prospective method. A significant increase or decrease in future royalty sales will materially impact the royalty sale liability, interest expense and the time period for repayment. The repayment of the royalty sale liability to the Purchaser does not have a fixed repayment schedule. Rather, it will be completely repaid and extinguished when the Company has repaid an aggregate amount equal to 1.7x of the Purchase Price. The $9.6 million in issuance costs will be amortized through interest expense over the life of the agreement. Royalties are remitted to the Purchaser in the subsequent quarter from when it's earned. The Company recognizes those royalties in accounts receivable, net and accounts payable on the condensed balance sheets until the royalties are remitted to the Purchaser from DSE.</w:t>
      </w:r>
    </w:p>
    <w:p>
      <w:pPr>
        <w:spacing w:after="0" w:line="21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As of June 30, 2025, the Company has recorded a liability, referred to as the “Royalty sale liability” on the condensed balance sheets, of $295.9 million, net of $7.9 million of capitalized issuance costs in connection with the royalty sale liability, which will be amortized to interest expense over the estimated term, $2.1 million of which will be amortized over the next 12 months and $5.8 million thereafter. The Company currently expects to repay $66.3 million in the next twelve months.</w:t>
      </w:r>
    </w:p>
    <w:p>
      <w:pPr>
        <w:spacing w:after="0" w:line="21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Company recorded $13.3 million and $26.4 million in interest expense related to this arrangement for the three and six months ended June 30, 2025, respectively, which included $0.5 million and $0.9 million, respectively, of amortized issuance costs. The Company did not record interest expense related to this arrangement for the three and six months ended June 30,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annual imputed interest rate is 1.5% as of June 30,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royalty sale liability activity during the six months ended June 30, 2025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royalty sale liability at 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293,610</w:t>
            </w:r>
          </w:p>
        </w:tc>
      </w:tr>
      <w:tr>
        <w:trPr>
          <w:trHeight w:val="229"/>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recognized and settled to Purchaser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w:t>
            </w:r>
          </w:p>
        </w:tc>
      </w:tr>
      <w:tr>
        <w:trPr>
          <w:trHeight w:val="23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royalty sale liability at June 30,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295,912</w:t>
            </w:r>
          </w:p>
        </w:tc>
      </w:tr>
      <w:tr>
        <w:trPr>
          <w:trHeight w:val="21"/>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and to pay fees and expenses in connection with the Credit Agreement.</w:t>
      </w:r>
    </w:p>
    <w:p>
      <w:pPr>
        <w:spacing w:after="0" w:line="19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The Loan will bear interest at an annual rate of 9.75% if paid in cash, and 11.75% if paid-in-kind. At the Company’s option, interest on the Loan may be paid-in-kind for the first four full fiscal quarters ending after the closing date. The Company elected to have interest on the Loan paid-in-kind for the second quarter ended June 30, 2025. The Credit Agreement requires quarterly interest-only payments for the first four years after the closing date and, thereafter, the Loan will partially amortize in quarterly principal payments of 12.50%, with the outstanding balance to be repaid on the maturity date, which shall be five (5) years after the closing date (the “Maturity Date”); provided that, such amortization may be adjusted pursuant to the terms of the Credit Agreement. The Company may, at its option, prepay the Loan in whole or in part at any time, subject to concurrent payment of certain fees and, if prepaid</w:t>
      </w:r>
    </w:p>
    <w:p>
      <w:pPr>
        <w:spacing w:after="0" w:line="5" w:lineRule="exact"/>
        <w:rPr>
          <w:sz w:val="20"/>
          <w:szCs w:val="20"/>
          <w:color w:val="auto"/>
        </w:rPr>
      </w:pPr>
    </w:p>
    <w:p>
      <w:pPr>
        <w:ind w:right="60" w:firstLine="8"/>
        <w:spacing w:after="0" w:line="237"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 (the “Prepayment Premium”). The Loan is subject to mandatory prepayment in the event of specified asset dispositions, extraordinary receipts, unpermitted debt issuances, change of control, and, in certain circumstances, failure to settle the exchanges of the Company’s Existing Notes, subject to certain exceptions and thresholds and concurrent payment of certain fees and, if prepaid within the first four years of closing, the applicable Prepayment Premium.</w:t>
      </w:r>
    </w:p>
    <w:p>
      <w:pPr>
        <w:spacing w:after="0" w:line="225"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18"/>
          <w:szCs w:val="18"/>
          <w:color w:val="auto"/>
        </w:rPr>
        <w:t>All obligations under the Credit Agreement shall be guaranteed by the Company’s present and future wholly owned subsidiaries, subject to customary exceptions, and secured by assets of Company and the guarantors, including the equity interests in the Company’s subsidiaries, subject to customary exceptions. The Credit Agreement contains a financial covenant to maintain minimum liquidity of $50.0 million. The Credit Agreement contains affirmative and negative covenants customary for a senior secured loan. The negative covenants under the Credit Agreement limit the ability of the Company and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borrowing of the Loan, the Company incurred 2.5% of original issue discount ("OID"), or approximately $3.8 million. In addition,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debt issuance costs of $5.4 million in connection with the borrowing of the Loan. Both the OID and debt issuance costs were</w:t>
      </w:r>
    </w:p>
    <w:p>
      <w:pPr>
        <w:spacing w:after="0" w:line="234" w:lineRule="auto"/>
        <w:rPr>
          <w:sz w:val="20"/>
          <w:szCs w:val="20"/>
          <w:color w:val="auto"/>
        </w:rPr>
      </w:pPr>
      <w:r>
        <w:rPr>
          <w:rFonts w:ascii="Times New Roman" w:cs="Times New Roman" w:eastAsia="Times New Roman" w:hAnsi="Times New Roman"/>
          <w:sz w:val="18"/>
          <w:szCs w:val="18"/>
          <w:color w:val="auto"/>
        </w:rPr>
        <w:t>capitalized and included in long-term debt on the condensed balance sheets at the inception of the Loan, and are being amortized to interest expense using</w:t>
      </w:r>
    </w:p>
    <w:p>
      <w:pPr>
        <w:spacing w:after="0" w:line="235" w:lineRule="auto"/>
        <w:rPr>
          <w:sz w:val="20"/>
          <w:szCs w:val="20"/>
          <w:color w:val="auto"/>
        </w:rPr>
      </w:pPr>
      <w:r>
        <w:rPr>
          <w:rFonts w:ascii="Times New Roman" w:cs="Times New Roman" w:eastAsia="Times New Roman" w:hAnsi="Times New Roman"/>
          <w:sz w:val="18"/>
          <w:szCs w:val="18"/>
          <w:color w:val="auto"/>
        </w:rPr>
        <w:t>the effective interest method over the same term. As the Company elected to have interest on the loan paid-in-kind for the quarter ended June 30, 2025,</w:t>
      </w:r>
    </w:p>
    <w:p>
      <w:pPr>
        <w:spacing w:after="0" w:line="235" w:lineRule="auto"/>
        <w:rPr>
          <w:sz w:val="20"/>
          <w:szCs w:val="20"/>
          <w:color w:val="auto"/>
        </w:rPr>
      </w:pPr>
      <w:r>
        <w:rPr>
          <w:rFonts w:ascii="Times New Roman" w:cs="Times New Roman" w:eastAsia="Times New Roman" w:hAnsi="Times New Roman"/>
          <w:sz w:val="18"/>
          <w:szCs w:val="18"/>
          <w:color w:val="auto"/>
        </w:rPr>
        <w:t>$4.4 million was added to the principal balance of the Loan. As of June 30, 2025, the Company recognized $146.5 million of long-term debt related to the</w:t>
      </w:r>
    </w:p>
    <w:p>
      <w:pPr>
        <w:spacing w:after="0" w:line="235" w:lineRule="auto"/>
        <w:rPr>
          <w:sz w:val="20"/>
          <w:szCs w:val="20"/>
          <w:color w:val="auto"/>
        </w:rPr>
      </w:pPr>
      <w:r>
        <w:rPr>
          <w:rFonts w:ascii="Times New Roman" w:cs="Times New Roman" w:eastAsia="Times New Roman" w:hAnsi="Times New Roman"/>
          <w:sz w:val="18"/>
          <w:szCs w:val="18"/>
          <w:color w:val="auto"/>
        </w:rPr>
        <w:t>Credit Agreement on the condensed balance sheets, net of the remaining unamortized discount and debt issuance costs associated with the Loan of</w:t>
      </w:r>
    </w:p>
    <w:p>
      <w:pPr>
        <w:ind w:right="40"/>
        <w:spacing w:after="0" w:line="233" w:lineRule="auto"/>
        <w:rPr>
          <w:sz w:val="20"/>
          <w:szCs w:val="20"/>
          <w:color w:val="auto"/>
        </w:rPr>
      </w:pPr>
      <w:r>
        <w:rPr>
          <w:rFonts w:ascii="Times New Roman" w:cs="Times New Roman" w:eastAsia="Times New Roman" w:hAnsi="Times New Roman"/>
          <w:sz w:val="18"/>
          <w:szCs w:val="18"/>
          <w:color w:val="auto"/>
        </w:rPr>
        <w:t>$3.2 million and approximately $4.7 million, respectively. During the three and six months ended June 30, 2025, the Company recognized $5.0 million and $9.1 million, respectively, of interest expense, including $0.6 million and $1.1 million, respectively, of OID and debt issuance costs amortization.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2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“2025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2025 Notes are the Company's senior unsecured obligations and mature on November 15, 2025 (the “Maturity Date”), unless earlier repurchased or converted into shares of the Company's common stock, par value $0.001 per share ("common stock"), under certain circumstances described below. The 2025 Notes are convertible into shares of the Company’s common stock, can be repurchased for cash, or a combination thereof, at the Company’s election, at an initial conversion rate of 30.2151 shares of common stock per $1,000 principal amount of the 2025 Notes, which is equivalent to an initial conversion price of approximately $33.096 per share of common stock, subject to adjustment. The Company will pay interest on the 2025 Notes semi-annually in arrears on May 15 and November 15 of each year.</w:t>
      </w:r>
    </w:p>
    <w:p>
      <w:pPr>
        <w:spacing w:after="0" w:line="2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Holders may convert their 2025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the Company’s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2025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“2021 Exchange Agreement”) with two co-managed holders (the “Holders”) of its 2025 Notes. Under the terms of the 2021 Exchange Agreement the Holders agreed to exchange (the “2021 Exchange”) with the Company $15.0 million aggregate principal amount of the Convertible Notes held in the aggregate by them (and accrued interest thereon) for shares of the Company’s common stock. Pursuant to the 2021 Exchange Agreement, the number of shares of common stock to be issued by the Company to the Holders upon consummation of the 2021 Exchange was determined based upon the volume-weighted-average-price per share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of common stock, subject to a floor of $5.62 per share, during the five trading-day averaging period, commencing on the trading day immediately following the date of the 2021 Exchange Agreement. The 2021 Exchange closed on November 3, 2021 with 1,094,848 shares of the Company's common stock being exchanged.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12, 2024, the Company entered into privately negotiated exchange and subscription agreements with certain holders of its 4.00% Convertible Senior Subordinated Notes due 2025 (the “2025 Notes”) pursuant to which the Company issued $100.0 million aggregate principal amount of 5.75% Convertible Senior Subordinated Notes due in June 2030 (the “2030 Notes”) consisting of (a) approximately $57.5 million principal amount of 2030 Notes, along with approximately $153.4 million in cash, including accrued interest, issued in exchange for approximately $210.1 million principal amount of 2025 Notes (the “Exchange Transaction”). The Company also issued and sold approximately $42.5 million aggregate principal amount of 2030 Notes for cash, pursuant to privately negotiated agreements (the “Subscription Transactions” and, together with the Exchange Transaction, the “Transaction”). The Exchange Transaction closed on December 17, 2024 under an Indenture between the Company and U.S. Bank Trust Company, National Association, as trustee. In exchange for issuing the 2030 Notes pursuant to the Exchange Transaction, the Company received and cancelled the exchanged 2025 Notes.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accounted for the Exchange as an extinguishment of a liability and calculated the loss on extinguishment of debt under ASC 470-50-40, which requires the difference between the reacquisition price of the debt and the net carrying amount of the extinguished debt to be recognized in the income statement. The reacquisition price of the 2025 Notes was the amount of principal exchanged. The net carrying amount of the debt was calculated by the face value of the notes less the unamortized debt issuance costs associated with the face value of the notes. The Company recognized a loss of</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$1.7 million in "Loss on extinguishment of debt and exchange transaction" on the statements of operations and comprehensive loss during the year ended December 31, 2024.</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June 30, 2025, the principal amount of 2025 Notes was $54.9 million, and the unamortized debt issuance costs were $0.1 million, for a net carrying amount of $54.8 million. As of December 31, 2024, the principal amount of 2025 Notes was $54.9 million, and the unamortized debt discount and issuance costs were $0.3 million, for a net carrying amount of $54.6 million.</w:t>
      </w:r>
    </w:p>
    <w:p>
      <w:pPr>
        <w:spacing w:after="0" w:line="21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The Company recorded $0.7 million and $1.3 million of interest expense during the three and six months ended June 30, 2025, respectively, relating to the cash interest on the 2025 Notes due semi-annually and including the amortization of the debt issuance costs of $0.1 million and $0.2 million, respectively. The Company recorded $3.1 million and $6.2 million of interest expense during the three and six months ended June 30, 2024, respectively, relating to the cash interest on the 2025 Notes due semi-annually and including the amortization of the debt issuance costs of $0.5 million and $0.9 million, respectively.</w:t>
      </w:r>
    </w:p>
    <w:p>
      <w:pPr>
        <w:spacing w:after="0" w:line="19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As of June 30, 2025, no 2025 Notes were convertible pursuant to their terms. The estimated fair value of the 2025 Notes was $54.0 million as of June 30, 2025 and $53.2 million as of December 31, 2024. The estimated fair value of the 2025 Notes was determined through consideration of quoted market prices. As of June 30, 2025, the if-converted value of the 2025 Notes did not exceed the principal value of those notes.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4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noted above, the Company issued $100.0 million aggregate principal amount of 5.75% Convertible Senior Subordinated Notes due 2030 (the “2030 Notes”) on December 17, 2024. The Company incurred approximately $3.3 million of issuance costs associated with the 2030 Notes.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2030 Notes mature on June 15, 2030, unless earlier converted, redeemed or repurchased. The 2030 Notes are the Company’s senior unsecured obligations and will pay interest on the 2030 Notes at an annual rate of 5.75% payable in cash semiannually in arrears on June 15 and December 15 of each year, beginning June 15, 2025. Before March 15, 2030, holders of the 2030 Notes will have the right to convert their notes only upon the occurrence of certain events. From and after March 15, 2030, holders may convert their notes at any time at their election until the close of business on the second scheduled trading day immediately before the maturity date. The Company will have the right to elect to settle conversions by paying or delivering, as applicable, cash, shares of its common stock or a combination of cash and shares of its common stock. The initial conversion rate is 326.7974 shares of common stock per $1,000 principal amount of notes, which represents an initial conversion price of approximately $3.06 per share of common stock. The conversion rate and conversion price will be subject to adjustment upon the occurrence of certain events. The indenture governing the 2030 Notes includes certain restrictive covenants that limit the Company’s ability to incur additional indebtedness, subject to certain exceptions.</w:t>
      </w:r>
    </w:p>
    <w:p>
      <w:pPr>
        <w:spacing w:after="0" w:line="21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2030 Notes will be redeemable, in whole or in part, for cash at the Company’s option at any time, and from time to time, on or after December 20, 2027 and prior to the forty-first (41st) scheduled trading day immediately before the maturity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date, but only if the last reported sale price per share exceeds 130% of the conversion price for a specified period of time and certain other conditions are satisfied. The redemption price will be equal to the principal amount of the 2030 Notes to be redeemed, plus accrued and unpaid interest, if any, to, but excluding, the redemption date.</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if the Company undergoes a “fundamental change” (as defined in the Indenture), subject to certain conditions, holders may require the Company to repurchase for cash all or part of their 2030 Notes in principal amounts of $1,000 or an integral multiple thereof. The repurchase price will be equal to the principal amount of the 2030 Notes to be repurchased, plus accrued and unpaid interest, if any, to, but excluding, the applicable repurchase date.</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Indenture provides for customary events of default, including payment defaults, breaches of covenants, failure to pay certain judgments and certain events of bankruptcy, insolvency and reorganization. If an event of default occurs and is continuing, the principal amount of the 2030 Notes, plus accrued and unpaid interest, if any, may be declared immediately due and payable, subject to certain conditions set forth in the Indenture. These amounts automatically become due and payable if an event of default relating to certain events of bankruptcy, insolvency or reorganization occurs.</w:t>
      </w:r>
    </w:p>
    <w:p>
      <w:pPr>
        <w:spacing w:after="0" w:line="193"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As of June 30, 2025, the principal amount of 2030 Notes was $100.0 million, and the unamortized debt issuance costs were $3.0 million, for a net carrying amount of $97.0 million. As of December 31, 2024, the principal amount of 2030 Notes was $100.0 million, and the unamortized debt issuance costs were $3.3 million, for a net carrying amount of $96.7 million.</w:t>
      </w: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recorded $1.5 million and $3.1 million, respectively, of interest expense during the three and six months ended June 30, 2025 relating to the cash interest on the 2030 Notes due semi-annually and including amortization of the debt issuance costs of $0.2 million and approximately $0.3 million, respectively.</w:t>
      </w:r>
    </w:p>
    <w:p>
      <w:pPr>
        <w:spacing w:after="0" w:line="20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As of June 30, 2025, no 2030 Notes were convertible pursuant to their terms. The estimated fair value of the 2030 Notes was $86.0 million as of June 30, 2025 and $105.4 million as of December 31, 2024. The estimated fair value of the 2030 Notes was determined through consideration of quoted market prices. As of June 30, 2025, the if-converted value of the 2030 Notes did not exceed the principal value of those notes.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of its covenants at June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principal payments due under the Loan, 2025 Notes and 2030 Notes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00" w:type="dxa"/>
            <w:vAlign w:val="bottom"/>
          </w:tcPr>
          <w:p>
            <w:pPr>
              <w:spacing w:after="0"/>
              <w:rPr>
                <w:sz w:val="20"/>
                <w:szCs w:val="20"/>
                <w:color w:val="auto"/>
              </w:rPr>
            </w:pPr>
          </w:p>
        </w:tc>
        <w:tc>
          <w:tcPr>
            <w:tcW w:w="24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54,912</w:t>
            </w:r>
          </w:p>
        </w:tc>
      </w:tr>
      <w:tr>
        <w:trPr>
          <w:trHeight w:val="230"/>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r>
      <w:tr>
        <w:trPr>
          <w:trHeight w:val="230"/>
        </w:trPr>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135,105</w:t>
            </w:r>
          </w:p>
        </w:tc>
      </w:tr>
      <w:tr>
        <w:trPr>
          <w:trHeight w:val="230"/>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309,318</w:t>
            </w:r>
          </w:p>
        </w:tc>
      </w:tr>
      <w:tr>
        <w:trPr>
          <w:trHeight w:val="20"/>
        </w:trPr>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2025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2025 Notes to pay the cost of the capped call transactions. The capped call transactions are expected generally to reduce potential dilution to the Company’s common stock upon any conversion of the 2025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2025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2025 Notes.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deficit, and they are not accounted for as derivatives and are not remeasured each reporting period. As of June 30, 2025, the Company had not purchased any shares under the convertible note capped call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2025 Notes, the Company entered into a prepaid forward stock repurchase transaction (“Prepaid Forward”) with a financial institution (“Forward Counterparty”). Pursuant to the Prepaid Forward, the Company used approximately $55.0 million of the net proceeds from the offering of the 2025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June 30, 2025, 576,107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19,593</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21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 April 2022, the Company’s board of directors (the “Board”) approved the Esperion Therapeutics, Inc. 2022 Stock Option and Incentive Plan (as amended, the “2022 Plan”), which was approved by the Company's stockholders in May 2022.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April 2023, the Board approved a first amendment to the 2022 Plan, which was approved by the Company's stockholders in June 2023, which increased the number of shares of Common Stock reserved for awards under the 2022 Plan to 10,650,000. In April 2024, the Board approved a second amendment to the 2022 Plan, which was approved by the Company's stockholders in May 2024, which increased the number of shares of Common Stock reserved for awards under the 2022 Plan to 16,900,000. In April 2025, the Board approved a third amendment to the 2022 Plan, which was approved by the Company's stockholders in May 2025, which increased the number of shares of Common Stock reserved for awards under the 2022 Plan to 23,150,000.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1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April 2020, the Board approved the Esperion Therapeutics, Inc. 2020 Employee Stock Purchase Plan (as amended, the "ESPP"), which was approved by the Company's stockholders in May 2020 and was subsequently amended by a first amendment to the ESPP adopted by the Board in July 2020. The ESPP allows eligible employees to authorize payroll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of up to 10% of their base salary or wages up to $25,000 annually to be applied toward the purchase of shares of Common Stock on the last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day of the offering period. Participating employees will purchase shares of Common Stock at a discount of up to 15% on the lesser of the closing</w:t>
      </w:r>
    </w:p>
    <w:p>
      <w:pPr>
        <w:spacing w:after="0" w:line="234" w:lineRule="auto"/>
        <w:rPr>
          <w:sz w:val="20"/>
          <w:szCs w:val="20"/>
          <w:color w:val="auto"/>
        </w:rPr>
      </w:pPr>
      <w:r>
        <w:rPr>
          <w:rFonts w:ascii="Times New Roman" w:cs="Times New Roman" w:eastAsia="Times New Roman" w:hAnsi="Times New Roman"/>
          <w:sz w:val="18"/>
          <w:szCs w:val="18"/>
          <w:color w:val="auto"/>
        </w:rPr>
        <w:t>price of Common Stock on the NASDAQ Global Market (i) on the first trading day of the offering period or (ii) the last day of any offering period.</w:t>
      </w:r>
    </w:p>
    <w:p>
      <w:pPr>
        <w:spacing w:after="0" w:line="235" w:lineRule="auto"/>
        <w:rPr>
          <w:sz w:val="20"/>
          <w:szCs w:val="20"/>
          <w:color w:val="auto"/>
        </w:rPr>
      </w:pPr>
      <w:r>
        <w:rPr>
          <w:rFonts w:ascii="Times New Roman" w:cs="Times New Roman" w:eastAsia="Times New Roman" w:hAnsi="Times New Roman"/>
          <w:sz w:val="18"/>
          <w:szCs w:val="18"/>
          <w:color w:val="auto"/>
        </w:rPr>
        <w:t>Offering periods under the ESPP will generally be in six months increments, commencing on September 1 and March 1 of each calendar year with the</w:t>
      </w:r>
    </w:p>
    <w:p>
      <w:pPr>
        <w:spacing w:after="0" w:line="235" w:lineRule="auto"/>
        <w:rPr>
          <w:sz w:val="20"/>
          <w:szCs w:val="20"/>
          <w:color w:val="auto"/>
        </w:rPr>
      </w:pPr>
      <w:r>
        <w:rPr>
          <w:rFonts w:ascii="Times New Roman" w:cs="Times New Roman" w:eastAsia="Times New Roman" w:hAnsi="Times New Roman"/>
          <w:sz w:val="18"/>
          <w:szCs w:val="18"/>
          <w:color w:val="auto"/>
        </w:rPr>
        <w:t>administrator having the right to establish different offering periods. During the three and six months ended June 30, 2025, the Company recognized</w:t>
      </w:r>
    </w:p>
    <w:p>
      <w:pPr>
        <w:spacing w:after="0" w:line="235" w:lineRule="auto"/>
        <w:rPr>
          <w:sz w:val="20"/>
          <w:szCs w:val="20"/>
          <w:color w:val="auto"/>
        </w:rPr>
      </w:pPr>
      <w:r>
        <w:rPr>
          <w:rFonts w:ascii="Times New Roman" w:cs="Times New Roman" w:eastAsia="Times New Roman" w:hAnsi="Times New Roman"/>
          <w:sz w:val="18"/>
          <w:szCs w:val="18"/>
          <w:color w:val="auto"/>
        </w:rPr>
        <w:t>$0.1 million and $0.2 million respectively, of stock compensation expense related to the ESPP. During the three and six months ended June 30, 2024, the</w:t>
      </w:r>
    </w:p>
    <w:p>
      <w:pPr>
        <w:spacing w:after="0" w:line="219" w:lineRule="auto"/>
        <w:rPr>
          <w:sz w:val="20"/>
          <w:szCs w:val="20"/>
          <w:color w:val="auto"/>
        </w:rPr>
      </w:pPr>
      <w:r>
        <w:rPr>
          <w:rFonts w:ascii="Times New Roman" w:cs="Times New Roman" w:eastAsia="Times New Roman" w:hAnsi="Times New Roman"/>
          <w:sz w:val="18"/>
          <w:szCs w:val="18"/>
          <w:color w:val="auto"/>
        </w:rPr>
        <w:t>Company recognized no stock compensation expense related to the ESPP. In April 2024, the Board approved a second amendment to the ESPP, which was</w:t>
      </w:r>
    </w:p>
    <w:p>
      <w:pPr>
        <w:spacing w:after="0" w:line="235" w:lineRule="auto"/>
        <w:rPr>
          <w:sz w:val="20"/>
          <w:szCs w:val="20"/>
          <w:color w:val="auto"/>
        </w:rPr>
      </w:pPr>
      <w:r>
        <w:rPr>
          <w:rFonts w:ascii="Times New Roman" w:cs="Times New Roman" w:eastAsia="Times New Roman" w:hAnsi="Times New Roman"/>
          <w:sz w:val="18"/>
          <w:szCs w:val="18"/>
          <w:color w:val="auto"/>
        </w:rPr>
        <w:t>approved by the Company's stockholders in May 2024, which increased the number of shares of Common Stock reserved for future issuance under the</w:t>
      </w:r>
    </w:p>
    <w:p>
      <w:pPr>
        <w:spacing w:after="0" w:line="234" w:lineRule="auto"/>
        <w:rPr>
          <w:sz w:val="20"/>
          <w:szCs w:val="20"/>
          <w:color w:val="auto"/>
        </w:rPr>
      </w:pPr>
      <w:r>
        <w:rPr>
          <w:rFonts w:ascii="Times New Roman" w:cs="Times New Roman" w:eastAsia="Times New Roman" w:hAnsi="Times New Roman"/>
          <w:sz w:val="18"/>
          <w:szCs w:val="18"/>
          <w:color w:val="auto"/>
        </w:rPr>
        <w:t>ESPP by an additional 6,175,000 shares. As of June 30, 2025, there have been 956,635 shares issued and 6,043,365 shares reserved for future issuance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ESPP.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Inducement Equity Plan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2017, the Board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six months ended June 30,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5,177,511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2,161,040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(474,308)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6,864,243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6,864,243</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3,417,015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stock options was $0.8 million and $1.6 million, respectively, for the three and six months ended June 30, 2025, including $0.1 million and $0.1 million, respectively, that was capitalized into inventory, and $1.1 million and $2.0 million, respectively, for the three and six months ended June 30, 2024, including $0.1 million and $0.2 million, respectively, that was capitalized into inventory. As of June 30, 2025, there was $4.9 million of unrecognized stock-based compensation expense related to unvested options, which will be recognized over a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six months ended June 30,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624,000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was no stock-based compensation related to PBSOs for the three and six months ended June 30, 2025 and for the three months ended June 30, 2024. Stock-based compensation related to PBSOs for the six months ended June 30, 2024 was $0.5 million. As of June 30, 2025, there was no unrecognized stock-based compensation expense related to unvested PBSOs.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six months ended June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5,498,930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(1,291,169)</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June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8,034,122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RSUs was approximately $1.7 million and $3.3 million, respectively, for the three and six months ended June 30, 2025, including $0.1 million and $0.2 million, respectively, that was capitalized into inventory, and $1.9 million and $3.5 million, respectively, for the three and six months ended June 30, 2024, including $0.2 million and $0.3 million, respectively, that was capitalized into inventory. As of June 30, 2025, there was $15.0 million of unrecognized stock-based compensation expense related to unvested RSUs, which will be recognized over a weighted-average period of 2.9 years.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Common Stock on the date of grant. The performance criteria was met in three months ended March 31, 2024.</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There was no stock-based compensation related to PBRSUs for the three and six months ended June 30, 2025 and for the three months ended June 30, 2024. Stock-based compensation related to PBRSUs was $0.2 million for the six months ended June 30, 2024, including less than $0.1 million that was capitalized into inventory. As of June 30, 2025, there was no unrecognized stock-based compensation expense related to unvested PBRSUs and no outstanding and unvested PBRSUs.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in each of the income statement line items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60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3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
        </w:trPr>
        <w:tc>
          <w:tcPr>
            <w:tcW w:w="3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1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There was no provision for income taxes for the three and six months ended June 30, 2025 and 2024, because the Company has incurred annual operating losses since inception. At June 30, 2025,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19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July 3, 2025, the United States Congress passed, and on July 4, 2025, President Trump signed into law, budget reconciliation bill H.R. 1 referred to as the One Big Beautiful Bill Act (the “OBBBA”). The OBBBA contains several changes to corporate taxation including modifications to capitalization of research and development expenses, limitations on deductions for interest expense and accelerated fixed asset depreciation, among others. The Company is still in the process of evaluating the implications of the OBBBA and an estimate of the financial impact cannot be made at this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reportable segment. The majority of the Company's business consists of researching, developing and commercializing therapies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 of patients with elevated LDL-C. The segment derives net product sales through sale of its NEXLETOL and NEXLIZET tablets to customers</w:t>
      </w:r>
    </w:p>
    <w:p>
      <w:pPr>
        <w:spacing w:after="0"/>
        <w:rPr>
          <w:sz w:val="20"/>
          <w:szCs w:val="20"/>
          <w:color w:val="auto"/>
        </w:rPr>
      </w:pPr>
      <w:r>
        <w:rPr>
          <w:rFonts w:ascii="Times New Roman" w:cs="Times New Roman" w:eastAsia="Times New Roman" w:hAnsi="Times New Roman"/>
          <w:sz w:val="17"/>
          <w:szCs w:val="17"/>
          <w:color w:val="auto"/>
        </w:rPr>
        <w:t>in the United States and through collaboration agreements with other third party companies to develop, manufacture and commercialize its products outside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Net product sales were $40.3 million and $75.2 million for the three and six months ended June 30, 2025. Net product sales were</w:t>
      </w:r>
    </w:p>
    <w:p>
      <w:pPr>
        <w:spacing w:after="0"/>
        <w:rPr>
          <w:sz w:val="20"/>
          <w:szCs w:val="20"/>
          <w:color w:val="auto"/>
        </w:rPr>
      </w:pPr>
      <w:r>
        <w:rPr>
          <w:rFonts w:ascii="Times New Roman" w:cs="Times New Roman" w:eastAsia="Times New Roman" w:hAnsi="Times New Roman"/>
          <w:sz w:val="17"/>
          <w:szCs w:val="17"/>
          <w:color w:val="auto"/>
        </w:rPr>
        <w:t>$28.3 million and $53.1 million for the three and six months ended June 30, 2024, respectively. Collaboration revenue, which includes milestone payments,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revenues and sales of the Company's tablets to its collaboration partners, was $42.1 million and $72.2 million for the three and six months ended</w:t>
      </w:r>
    </w:p>
    <w:p>
      <w:pPr>
        <w:spacing w:after="0" w:line="234" w:lineRule="auto"/>
        <w:rPr>
          <w:sz w:val="20"/>
          <w:szCs w:val="20"/>
          <w:color w:val="auto"/>
        </w:rPr>
      </w:pPr>
      <w:r>
        <w:rPr>
          <w:rFonts w:ascii="Times New Roman" w:cs="Times New Roman" w:eastAsia="Times New Roman" w:hAnsi="Times New Roman"/>
          <w:sz w:val="18"/>
          <w:szCs w:val="18"/>
          <w:color w:val="auto"/>
        </w:rPr>
        <w:t>June 30, 2025. Collaboration revenue was $45.5 million and $158.5 million, respectively for the three and six months ended June 30,2024, respectively.</w:t>
      </w:r>
    </w:p>
    <w:p>
      <w:pPr>
        <w:spacing w:after="0" w:line="232" w:lineRule="auto"/>
        <w:rPr>
          <w:sz w:val="20"/>
          <w:szCs w:val="20"/>
          <w:color w:val="auto"/>
        </w:rPr>
      </w:pPr>
      <w:r>
        <w:rPr>
          <w:rFonts w:ascii="Times New Roman" w:cs="Times New Roman" w:eastAsia="Times New Roman" w:hAnsi="Times New Roman"/>
          <w:sz w:val="17"/>
          <w:szCs w:val="17"/>
          <w:color w:val="auto"/>
        </w:rPr>
        <w:t>During the three and six months ended June 30, 2025, collaboration revenue was primarily derived in Europe from the Company's partner, DSE. During the</w:t>
      </w:r>
    </w:p>
    <w:p>
      <w:pPr>
        <w:spacing w:after="0" w:line="235" w:lineRule="auto"/>
        <w:rPr>
          <w:sz w:val="20"/>
          <w:szCs w:val="20"/>
          <w:color w:val="auto"/>
        </w:rPr>
      </w:pPr>
      <w:r>
        <w:rPr>
          <w:rFonts w:ascii="Times New Roman" w:cs="Times New Roman" w:eastAsia="Times New Roman" w:hAnsi="Times New Roman"/>
          <w:sz w:val="18"/>
          <w:szCs w:val="18"/>
          <w:color w:val="auto"/>
        </w:rPr>
        <w:t>year ended December 31, 2024, collaboration revenue was primarily derived in Europe and Japan from the Company's partners, DSE and Otsuka. The</w:t>
      </w:r>
    </w:p>
    <w:p>
      <w:pPr>
        <w:spacing w:after="0" w:line="235" w:lineRule="auto"/>
        <w:rPr>
          <w:sz w:val="20"/>
          <w:szCs w:val="20"/>
          <w:color w:val="auto"/>
        </w:rPr>
      </w:pPr>
      <w:r>
        <w:rPr>
          <w:rFonts w:ascii="Times New Roman" w:cs="Times New Roman" w:eastAsia="Times New Roman" w:hAnsi="Times New Roman"/>
          <w:sz w:val="18"/>
          <w:szCs w:val="18"/>
          <w:color w:val="auto"/>
        </w:rPr>
        <w:t>Company manages the business activities on a consolidated basis. The accounting policies of the segment are the same as those described in Note 2</w:t>
      </w:r>
    </w:p>
    <w:p>
      <w:pPr>
        <w:spacing w:after="0"/>
        <w:rPr>
          <w:sz w:val="20"/>
          <w:szCs w:val="20"/>
          <w:color w:val="auto"/>
        </w:rPr>
      </w:pPr>
      <w:r>
        <w:rPr>
          <w:rFonts w:ascii="Times New Roman" w:cs="Times New Roman" w:eastAsia="Times New Roman" w:hAnsi="Times New Roman"/>
          <w:sz w:val="18"/>
          <w:szCs w:val="18"/>
          <w:color w:val="auto"/>
        </w:rPr>
        <w:t>“Summary of Significant Accounting Policies."</w:t>
      </w:r>
    </w:p>
    <w:p>
      <w:pPr>
        <w:spacing w:after="0" w:line="23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("CODM"). The CODM assesses the performance of the Company and decides how to allocate resources based on revenues and net (loss) income, which is reported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the statements of operations. The chief operating decision maker also assesses performance by reviewing net cash (used in) provided by operating expenses, which is reported on the statements of cash flows. The measure of segment assets is reported on the balance sheets as total assets. The chief operating decision maker also reviews cash and cash equivalents. A significant component of the CODM's decision-making process is to ensure a balanced investment in research and development, as well as commercial activities to drive near-term success and sustain for the long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4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On January 18, 2024, the Company entered into an underwriting agreement (the "Underwriting Agreement") with Jefferies LLC ("Jefferies"), as representative of the underwriters (the "Underwriters"), related to an underwritten public offering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Underwriters' option to purchase additional shares, in full. Giving effect to the exercise of Underwriters' option, the January 2024 Offering closed on January 23, 2024, with net proceeds to the Company of approximately $90.7 million, after deducting the underwriting discount and offering expenses of $7.1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1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On February 21, 2023, the Company entered into a Controlled Equity Offering Sales Agreement with Cantor Fitzgerald &amp; Co., as sales agent, to provide for the issuance and sale by the Company of up to $70.0 million of shares of Common Stock from time to time in “at-the-market” offerings (the "2023 ATM Program"), pursuant to its shelf registration statement on Form S-3 (File No. 333-286631) filed with the SEC on April 18, 2025, including the sales agreement prospectus contained therein, as declared effective by the SEC on April 29, 2025. The Company may continue to use the 2023 ATM Program to address potential short-term or long-term funding requirements that may arise. Such program will continue to be subject to the volatility of the price of Common Stock and general market conditions. During the three and six months ended June 30, 2025, the Company issued 2,665,505 shares of Common Stock resulting in net proceeds of approximately $2.8 million after deducting $0.4 million of sales agent commissions and other expenses, pursuant to the 2023 ATM Program. During the three and six month periods ended June 30, 2024, the Company did not issue shares pursuant to the 2023 ATM Program.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In connection with an underwriting agreement with H.C. Wainwright &amp; Co., LLC ("Wainwright") on December 2, 2021, (the "December 2021 Offering"),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shares of Common Stock issued with the December 2021 Offering and the warrants. On December 7, 2023, 27,940,074 of these warrants expired. The remaining 9,024,212 warrants were amended as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 and Warrant Amendment</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19, 2023, the Company entered into a purchase agreement (the "2023 Purchase Agreement") with the Purchasers named therein (the "Purchasers") pursuant to which the Company agreed to issue and sell, in a registered direct offering (the "Registered Direct Offering"), 12,205,000 shares of Common Stock, pre-funded warrants ("Pre-Funded Warrants") to purchase up to an aggregate of 20,965,747 shares of Common Stock in lieu of shares of Common Stock, and warrants ("Warrants") to purchase up to 33,170,747 shares of Common Stock.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2023 Purchase Agreement contains customary representations, warranties, covenants and indemnification rights and obligations of the Company and the Purchasers. The Registered Direct Offering closed on March 22, 2023. The Warrants and Pre-Funded Warrants were recorded at fair value of $22.8 million to additional-paid-in-capital in accordance with ASC 815-10 based upon the allocation of the proceeds between the shares of Common Stock issued with the Registered Direct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contractual term. The Company estimated the fair value of the Pre-Funded Warrants based on the market price of Common Stock at issuance.</w:t>
      </w:r>
    </w:p>
    <w:p>
      <w:pPr>
        <w:spacing w:after="0" w:line="25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19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of June 30, 2025, no Pre-Funded Warrants were outstanding. During the three and six months ended June 30, 2025, no warrants were exercised. During the three and six months ended June 30, 2024, 6,272,783 and 10,272,783 warrants were exercised, respectively. The following table summarizes the warrants outstanding for the Company as of June 30, 2025 and December 31, 2024:</w:t>
      </w:r>
    </w:p>
    <w:tbl>
      <w:tblPr>
        <w:tblLayout w:type="fixed"/>
        <w:tblInd w:w="36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6"/>
                <w:szCs w:val="16"/>
                <w:color w:val="auto"/>
              </w:rPr>
            </w:pPr>
          </w:p>
        </w:tc>
        <w:tc>
          <w:tcPr>
            <w:tcW w:w="15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155"/>
        </w:trPr>
        <w:tc>
          <w:tcPr>
            <w:tcW w:w="56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Warrants outstanding from Warrant Amendment Agreements, expiring</w:t>
            </w:r>
          </w:p>
        </w:tc>
        <w:tc>
          <w:tcPr>
            <w:tcW w:w="1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22, 2026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6,071,429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6,071,429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Warrants outstanding from 2023 Purchase Agreement, expiring September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22, 2026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26,071,429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26,071,429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Common Share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and the if-converted method for shares issuable upon conversion of convertible notes.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19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47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6,864,243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5,666,114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646,200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8,034,122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5,554,225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248,213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34,338,912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8,007,010</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26,071,429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26,071,429</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76,180,919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45,944,978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2024 and other filings that we make with the Securities and Exchange Commission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marketing strategy, clinical development and commercialization plans, or our future financial performance and involve known and unknown risks, uncertainties and other factors that may cause our actual results, performance or achievements, including in relation to our ability to remediate the material weakness in our internal control over financial reporting, the clinical development, commercialization plans, timing, designs and plans for the CLEAR Outcomes study and its results, plans for potential future product candidates and expectations regarding future transactions to further improve our balance sheet to be materially different from any future results, performance or achievements, including in relation to the clinical development, commercialization plans, net sales profitability, growth of our commercial products, clinical activities, commercial development plans, the outcomes and anticipated benefits of legal proceedings and settlements, expressed or implied by these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we use the terms "Esperion," “we,” “us,” “our,” or the "Company” in this Quarterly Report on Form 10-Q to refer to Esperion Therapeutics,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low-density lipoprotein cholesterol, or LDL-C. Through commercial execution, international partnerships and collaborations, and advancement of our pre-clinical pipeline, we continue to evolve into a leading global biopharmaceutical company.</w:t>
      </w:r>
    </w:p>
    <w:p>
      <w:pPr>
        <w:spacing w:after="0" w:line="21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Our products were approved by the FDA, the European Commission, or EC,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or Otsuka, our Japanese collaborator, announced that the primary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endpoint of LDL-C reduction from baseline at Week 12 was achieved with statistical significance in the Phase 3 clinical trial in Japan for bempedoic acid as a treatment for hypercholesterolemia. Otsuka filed a New Drug Application, or NDA, in Japan in November 2024, with expected approval and National Health Insurance, or NHI, pricing in the second half of 2025. We filed supplemental NDAs for product approvals in Canada in November 2024, with expected approval in the fourth quarter of 2025. Our collaboration partners filed in Israel in March 2025, with expected approval in the first half of 2026, and in Australia in July 2025, with expected approval in the second half of 2026.</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and royalty interest purchase agreements. We have incurred losses in each year since our inception.</w:t>
      </w:r>
    </w:p>
    <w:p>
      <w:pPr>
        <w:spacing w:after="0" w:line="17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We have never been profitable. Our net losses were $12.7 million and $53.2 million, respectively, for the three and six months ended June 30, 2025. Our net losses were $61.9 million and $0.9 million, respectively, for the three and six months ended June 30, 2024. Substantially all of our net losses resulted from costs incurred in connection with research and development programs and selling, general and administrative costs associated with our operations. We expect to incur expenses and operating losses for the immediate future in connection with our ongoing activities, including, among others:</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research and development activities.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when needed or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1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NEXLETOL is a first-in-class ATP Citrate Lyase, or ACLY,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20.0% placebo corrected LDL-C lowering, and a resulting 13% lower risk of major cardiovascular events versus placebo. NEXLETOL was approved by the FDA in February 2020 and received an expanded cardiovascular risk reduction indication from the FDA in March 2024.</w:t>
      </w:r>
    </w:p>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we incurred $3.2 million in expenses related to ongoing clinical studies.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we incurred $4.3 million in expenses related to ongoing clinical studies.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and NEXLIZET were commercially available in the U.S. on March 30, 2020 and June 4,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Daiichi Sankyo Europe GmbH, or DSE, Otsuka, and Daiichi Sankyo Co. Ltd, or DS, and our other ex-U.S. collaboration partners. Collaboration revenue for the three and six months ended June 30, 2025 was primarily related to sales of bulk tablets active pharmaceutical ingredient, or API, under our supply agreements and royalty revenue received from our collaboration partners. Collaboration revenue for the three and six months ended June 30, 2024 was primarily related to the Settlement Agreement with DSE, sales of bulk tablets under our supply agreements and royalty revenue received from our collaboration partners. Under contracted supply agreements with ex-U.S. collaborators, we may manufacture and supply quantities of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our supply agreements with our collaboration partners.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and any other product candidate we may choose to pursue, which include:</w:t>
      </w:r>
    </w:p>
    <w:p>
      <w:pPr>
        <w:spacing w:after="0" w:line="206"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and our early-stage pipeline assets.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8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increase in 2025 as we begin our phase</w:t>
      </w:r>
    </w:p>
    <w:p>
      <w:pPr>
        <w:spacing w:after="0" w:line="1" w:lineRule="exact"/>
        <w:rPr>
          <w:sz w:val="20"/>
          <w:szCs w:val="20"/>
          <w:color w:val="auto"/>
        </w:rPr>
      </w:pPr>
    </w:p>
    <w:p>
      <w:pPr>
        <w:ind w:firstLine="8"/>
        <w:spacing w:after="0" w:line="251"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trial and continue progressing our preclinical pipeline. We cannot determine with certainty the duration and completion costs associated with the ongoing or future clinical studies of bempedoic acid and the bempedoic acid / ezetimibe combination tablet or any other product candidate we may choose to pursue. The duration, costs and timing associated with the development of bempedoic acid and the bempedoic acid / ezetimibe combination tablet or any other product candidate will depend on a variety of factors, including uncertainties associated with the results of our clinical studies and our ability to obtain regulatory approval.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our business, including costs associated with the commercialization of NEXLETOL and NEXLIZET, selling expenses, facility-related costs, communication expenses and professional fees for legal, patent prosecution, protection and review, consulting and accounting services.</w:t>
      </w:r>
    </w:p>
    <w:p>
      <w:pPr>
        <w:spacing w:after="0" w:line="170"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We expect our selling, general and administrative expenses will be consistent in 2025 as it was in 2024 after the additional global regulatory approvals for new product indications in 2024 and the associated expanded commercialization initiatives for NEXLETOL and NEXLIZET and increases in our associated headcount to expand our sales team.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Interest expense is related to our royalty purchase agreement, or Royalty Purchase Agreement, with OCM IP Healthcare Portfolio LP, or OMERS, entered into on June 27, 2024, our $150.0 million term loan, or Loan, entered into on December 13, 2024, our Revenue Interest Purchase Agreement, or RIPA, with Oberland, an affiliate of Oberland Capital, and our convertible notes. Interest expense for the three and six months ended June 30, 2025 was related to our Royalty Purchase Agreement with OMERS, our Loan, and our convertible notes. Interest expense for the three and six months ended June 30, 2024 was related to our RIPA and our convertible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Other income, net, primarily relates to interest income and the accretion or amortization of premiums and discounts earned on our cash and cash equivalents and also includes other income related to the sale of leased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net product sales and royalty purchase agreement. We base our estimates on historical experience, known trends and events, contractual milestones and other various factors that are believed to be reasonable under the circumstances, the results of which form the basis for making judgments about the carrying values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assets and liabilities that are not readily apparent from other sources. Our actual results may differ from these estimates under different assumptions or conditions.</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49,200</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June 30, 2025 was $40.3 million compared to $28.3 million for the three months ended June 30, 2024, an increase of $12.0 million. The increase is primarily due to prescription growth volumes of NEXLETOL and NEXLIZET compared to the second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June 30, 2025 was $42.1 million compared to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$45.5 million for the three months ended June 30, 2024, a decrease of $3.4 million. The decrease is primarily due to the Settlement Agreement with DSE for the EMA approval received in the three months ended June 30, 2024, partially offset by increased royalty sales growth within our partner territories and product sales to our collaboration partners from our supply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16"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Cost of goods sold for the three months ended June 30, 2025 was $28.5 million compared to $15.6 million for the three months ended June 30, 2024, an increase of $12.9 million. The increase is primarily related to increased product sales to our collaboration partners from our supply agreements and increased net product sales of NEXLETOL and NEXLIZET.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2025, were $7.2 million, compared to $11.5 million for the three months ended June 30, 2024, a decrease of approximately $4.3 million. The decrease in research and development expenses was primarily attributable to decreased costs for ongoing clinical studies and decreased compensation costs, including bonus, stock compensation and consulting.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2025, were $39.5 million, compared to $44.2 million for the three months ended June 30, 2024, a decrease of $4.7 million. The decrease in selling, general and administrative expenses was primarily attributable to decreased media and marketing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June 30, 2025, was $20.5 million, compared to $13.7 million for the three months ended June 30, 2024, an increase of $6.8 million. The increase in interest expense was primarily attributable to interest on our Loan. Interest expense for the three months ended June 30, 2025 was related to our royalty sale liability, Loan and convertible notes and the associated amortization of debt issuance costs and original issue discounts. Interest expense for the three months ended June 30, 2024 was related to our revenue interest liability and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on extinguishment of debt for the three months ended June 30, 2024, was $53.2 million, with no such loss recognized for the three months ended June 30, 2025. The loss on extinguishment of debt was due to the repurchase of the Revenue Interests under our RIPA with Oberland.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June 30, 2025, was $0.7 million, compared to $2.5 million for the three months ended June 30, 2024, a decrease of $1.8 million. The decrease in other income, net was primarily due to lower interest income on our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(86,318)</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34,397</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sales, net for the six months ended June 30, 2025 was $75.2 million compared to $53.1 million for the six months ended June 30, 2024, an increase of approximately $22.1 million. The increase is primarily due to prescription growth volumes of NEXLETOL and NEXLIZET compared to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six months ended June 30, 2025 was $72.2 million compared to $158.5 million for the six months ended June 30, 2024, a decrease of $86.3 million. The decrease is primarily due to the Settlement Agreement with DSE received in the six months ended June 30, 2024, partially offset by increased royalty sales growth within our partner territories and product sales to our collaboration partners from our supply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16" w:lineRule="exact"/>
        <w:rPr>
          <w:sz w:val="20"/>
          <w:szCs w:val="20"/>
          <w:color w:val="auto"/>
        </w:rPr>
      </w:pPr>
    </w:p>
    <w:p>
      <w:pPr>
        <w:jc w:val="both"/>
        <w:ind w:right="560"/>
        <w:spacing w:after="0" w:line="250" w:lineRule="auto"/>
        <w:rPr>
          <w:sz w:val="20"/>
          <w:szCs w:val="20"/>
          <w:color w:val="auto"/>
        </w:rPr>
      </w:pPr>
      <w:r>
        <w:rPr>
          <w:rFonts w:ascii="Times New Roman" w:cs="Times New Roman" w:eastAsia="Times New Roman" w:hAnsi="Times New Roman"/>
          <w:sz w:val="18"/>
          <w:szCs w:val="18"/>
          <w:color w:val="auto"/>
        </w:rPr>
        <w:t>Cost of goods sold for the six months ended June 30, 2025 was $60.1 million compared to $25.7 million for the six months ended June 30, 2024, an increase of $34.4 million. The increase is primarily related to increased product sales to our collaboration partners from our supply agreements and increased net product sales of NEXLETOL and NEXLIZET.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2025, were $19.8 million, compared to $24.9 million for the six months ended June 30, 2024, a decrease of $5.1 million. The decrease in research and development expenses was primarily attributable to decreased compensation costs, including bonus, stock compensation and consulting and decreased costs for ongoing clinical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2025, were $82.5 million, compared to $86.2 million for the six months ended June 30, 2024, a decrease of $3.7 million. The decrease in selling, general and administrative expenses was primarily attributable to decreased media and marketing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for the six months ended June 30, 2025, was $39.9 million, compared to $27.7 million for the six months ended June 30, 2024, an increase of $12.2 million. The increase in interest expense was primarily attributable to interest on our Loan. Interest expense for the six months ended June 30, 2025 was related to our royalty sale liability, Loan and convertible notes and the associated amortization of debt issuance costs and original issue discounts. Interest expense for the six months ended June 30, 2024 was related to our revenue interest liability and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Loss on extinguishment of debt for the six months ended June 30, 2024, was $53.2 million, with no such loss recognized for the six months ended June 30, 2025. The loss on extinguishment of debt was due to the repurchase of the Revenue Interests under our RIPA with Oberland.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income, net for the six months ended June 30, 2025, was $1.7 million, compared to $5.2 million for the six months ended June 30, 2024, a decrease of $3.5 million. The decrease in other income, net was primarily due to lower interest income on our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and royalty purchase agreements. Pursuant to the license and collaboration agreements with DSE, DS, and Otsuka, we are eligible for substantial additional sales and regulatory milestone payments and royalties.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shelf registration statement on Form S -3 (File No. 333-286631) filed with the SEC on April 18, 2025, including the sales agreement prospectus contained therein, as declared effective by the SEC on April 29, 2025. During the three and six months ended June 30, 2025, we issued 2,665,505 shares of our common stock, resulting in net proceeds of approximately $2.8 million after deducting $0.4 million of sales agent commissions and other expenses, pursuant to the 2023 ATM Program. No shares were issued during the three and six months ended June 30, 2024.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1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January 2, 2024, we entered into a Settlement Agreement with DSE to amicably resolve and dismiss the commercial dispute that was pending in the Southern District of New York. Under the Settlement Agreement, DSE agreed to pay us an aggregate of $125.0 million, including (1) a $100.0 million payment within 15 business days of the effective date of the Settlement Agreement, which we received in January 2024, and (2) a $25.0 million payment in the calendar quarter immediately following the calendar quarter in which the European Medicines Agency, or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spacing w:after="0" w:line="21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On January 18, 2024, we entered into an underwriting agreement, or the Underwriting Agreement, with Jefferies LLC, or Jefferies, as representative of several underwriters, or the Underwriters, related to an underwritten public offering, or the January 2024 Offering, of 56,700,000 shares of our common stock, at a purchase price to the public of $1.50 per share. The Underwriters were also granted a 30-day option to purchase up to an additional 8,505,000 shares of our common stock, at the public offering price, less underwriting discounts and commissions. On January 19, 2024, Jefferies gave us notice of its election to exercise the option to purchase additional shares, in full. Giving effect to the exercise of Underwriters' option, the January Offering closed on January 23, 2024, with net proceeds to the Company of approximately $90.7 million, after deducting the underwriting discount and offering expenses of $7.1 million.</w:t>
      </w:r>
    </w:p>
    <w:p>
      <w:pPr>
        <w:spacing w:after="0" w:line="21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On December 12, 2024, we entered into privately negotiated exchange and subscription agreements with certain holders of our 4.00% Convertible Senior Subordinated Notes due 2025, or the 2025 Notes, pursuant to which we issued $100.0 million aggregate principal amount of 5.75% Convertible Senior Subordinated Notes due in June 2030, or the 2030 Notes, consisting of (a) approximately $57.5 million principal amount of 2030 Notes, along with approximately $153.4 million in cash, including accrued interest, issued in exchange for approximately $210.1 million principal amount of 2025 Notes, or the Exchange Transaction. As part of our December 2024 Credit Agreement and Exchange Transaction for our 2025 and 2030 Notes, as described in more detail below, the Company added approximately $26.5 million of net cash and cash equivalents to the balance sheets after payments of original issue discount, issuance costs and accrued interest on the partial extinguishment of the 2025 Notes.</w:t>
      </w:r>
    </w:p>
    <w:p>
      <w:pPr>
        <w:spacing w:after="0" w:line="185"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We anticipate that we will incur operating losses for the immediate future as we continue to incur substantial expenses related to the ongoing commercialization of 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w:t>
      </w:r>
    </w:p>
    <w:p>
      <w:pPr>
        <w:spacing w:after="0" w:line="2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2025, our primary sources of liquidity were our cash and cash equivalents which totaled $86.1 million. We invest our cash equivalents in highly liquid, interest-bearing investment-grade securities to preserve principal.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107,056</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 and our early stage pipeline assets.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totaled $54.1 million for the six months ended June 30, 2025, compared to $46.6 million of cash provided by operating activities for the six months ended June 30, 2024. Net cash used in operating activities of $54.1 million for the six months ended June 30, 2025 consisted primarily of net product sales of NEXLETOL and NEXLIZET and collaboration revenue fully offset by cash used to fund the commercialization activities of NEXLETOL and NEXLIZET and the research and development costs related to bempedoic acid and the bempedoic acid / ezetimibe combination tablet and our other early stage pipeline assets, adjusted for non-cash items such as royalty revenue paid or to be paid to OMERS, stock-based compensation expense, interest expense related to our royalty sale agreement, amortization of issuance costs on our convertible notes, depreciation and amortization and changes in working capital. Net cash provided by operating activities of $46.6 million for the six months ended June 30, 2024 consisted primarily of net product sales of NEXLETOL and NEXLIZET and collaboration revenue from the Settlement Agreement with DSE partially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was no cash used in or provided by investing activities for the six months ended June 30, 2025. Net cash used in investing activities of $0.2 million for the six months ended June 30, 2024 consisted of purchases of property, plant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$4.7 million for the six months ended June 30, 2025 related primarily to payments of issuance costs on our December 2024 Credit Agreement and Exchange Transaction, offset partially by cash received from our 2023 ATM program. Net cash provided by financing activities of $60.6 million for the six months ended June 30, 2024 related primarily to our January 2024 Offering and warrant exercises, partially offset by payments on our revenue interest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17, 2024, we closed on the Exchange Agreement where we repaid $210.1 million aggregate principal amount of our $265.0 million 2025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associated accrued interest. Future payments under the 4.00% 2025 Notes include annual interest of $2.2 million and a principal payment of</w:t>
      </w:r>
    </w:p>
    <w:p>
      <w:pPr>
        <w:spacing w:after="0" w:line="234" w:lineRule="auto"/>
        <w:rPr>
          <w:sz w:val="20"/>
          <w:szCs w:val="20"/>
          <w:color w:val="auto"/>
        </w:rPr>
      </w:pPr>
      <w:r>
        <w:rPr>
          <w:rFonts w:ascii="Times New Roman" w:cs="Times New Roman" w:eastAsia="Times New Roman" w:hAnsi="Times New Roman"/>
          <w:sz w:val="18"/>
          <w:szCs w:val="18"/>
          <w:color w:val="auto"/>
        </w:rPr>
        <w:t>$54.9 million due in November 2025. Refer to Note 10 "Debt" in our condensed financial statements appearing elsewhere in this Quarterly Report on 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17, 2024, we issued $100.0 million aggregate principal amount of 5.75% convertible senior subordinated notes due 2030 to certain financial institutions as the initial purchasers of the convertible notes, or 2030 Notes. Future payments under the 2030 Notes include annual interest of approximately $5.8 million and a principal payment of $100.0 million in 2030. Refer to Note 10 "Debt" in our condensed financial statements appearing elsewhere in this Quarterly Report on Form 10-Q.</w:t>
      </w:r>
    </w:p>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December 13, 2024, we entered into a credit agreement, or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or the Loan, which was borrowed in full at closing. Proceeds from the Loan were used repay a portion of the outstanding obligations under our 2025 Notes, and to pay an original issue discount of $3.8 million and fees and expenses in connection with the Credit Agreement of $5.4 million. The Loan will bear interest at an annual rate of 9.75% if paid in cash, and 11.75% if paid-in-kind. At our option, interest on the Loan may be paid-in-kind for the first four full fiscal quarters ending after the closing date. We elected to have interest on the Loan paid-in-kind for the second quarter ended June 30, 2025. The Credit Agreement requires quarterly interest-only payments for the first four years after the closing date and, thereafter, the Loan will partially amortize in quarterly principal payments of 12.5%, with the outstanding balance to be repaid on the maturity date of December 13, 2029. Future payments under the Loan are expected to be annual interest of $15.1 million (approximately $11.9 million in 2025 with the additional portion related to the fourth quarter of 2024 and the paid-in-kind interest related to the second quarter of 2025), $19.3 million in principal in the year ended December 31, 2028, and the remaining approximately $135.1 million in principal in the year ended December 31, 2029.</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On June 27, 2024, we entered into a Royalty Purchase Agreement, or the Purchase Agreement, with OMERS. Pursuant to the Purchase Agreement, we sold a portion of the royalties payable on net sales of Bempedoic Acid from our collaboration partner DSE. Pursuant to the Purchase Agreement, we received $304.7 million, less issuance costs. OMERS acquired 100% of the Royalty Interests until such time as they have received an aggregate amount equal to</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1.7x of the Purchase Price (equivalent to approximately $517.9 million). Following receipt of such amount, 100% of all Royalty Interests will revert to the Company. Through June 30, 2025, the royalties recognized and settled to the Purchaser was $50.1 million. The Company expects future royalties to OMERS may range from $66.3 million in the next year to a maximum total payment of approximately $401.5 million beyond one year. A significant increase or decrease in future royalties will materially impact the royalty sale liability, interest expense and the time period for repayment. Refer to Note 9 "Sale of Future Royalties" in our condensed financial statements included in this Quarterly Report on Form 10-Q for the quarter ended June 30, 2025 for further information.</w:t>
      </w:r>
    </w:p>
    <w:p>
      <w:pPr>
        <w:spacing w:after="0" w:line="17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June 27, 2024, we repurchased the Revenue Interests outstanding under the RIPA for $343.8 million and recognized a loss on extinguishment of debt in the statement of operations. Following the repurchase in June 2024, we no longer owe payments under the RIPA. Refer to Note 8 "Liability Related to the Revenue Interest Purchase Agreement" in our condensed financial statements included in this Quarterly Report on Form 10-Q for further information.</w:t>
      </w:r>
    </w:p>
    <w:p>
      <w:pPr>
        <w:spacing w:after="0" w:line="20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On January 18, 2024, we entered into the Underwriting Agreement with Jefferies, as representative of the Underwriters, related to the January 2024 Offering of 56,700,000 shares of our common stock, at a purchase price to the public of $1.50 per share. The Underwriters were also granted a 30-day option to purchase up to an additional 8,505,000 shares of our common stock, at the public offering price, less underwriting discounts and commissions. On January 19, 2024, Jefferies gave us notice of its election to exercise the option to purchase additional shares, in full. Giving effect to the exercise of Underwriters' option, the January Offering closed on January 23, 2024, with net proceeds to the Company of approximately $90.7 million, after deducting the underwriting discount and offering expenses of $7.1 million.</w:t>
      </w:r>
    </w:p>
    <w:p>
      <w:pPr>
        <w:spacing w:after="0" w:line="224"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color w:val="auto"/>
        </w:rPr>
        <w:t>On March 22, 2023, we issued and sold, in a registered direct offering, or the Registered Direct Offering, 12,205,000 shares of our common stock, pre-funded warrants to purchase up to an aggregate of 20,965,747 shares of our common stock,</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 lieu of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The amended warrants are immediately exercisable and will expire on September 22, 2026, which may provide us with additional funding, if such amended warrants are exercised by their holders. Each pre-funded warrant is exercisable for one share of our common stock at an exercise price of $0.001 per share. The pre-funded warrants were immediately exercisable and could be exercised at any time. As of June 30, 2025, no pre-funded warrants were outstanding as all were exercised during the year ended 2023.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During the three and six months ended June 30, 2025, no warrants were exercised. During the six months ended June 30, 2024, we received net proceeds of approximately $14.8 million from the exercise of warrants in connection with the Registered Direct Offering.</w:t>
      </w:r>
    </w:p>
    <w:p>
      <w:pPr>
        <w:spacing w:after="0" w:line="21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shelf registration statement on Form S -3 (File No. 333-286631) filed with the SEC on April 18, 2025, including the sales agreement prospectus contained therein, as declared effective by the SEC on April 29, 2025. During the three and six months ended June 30, 2025, we issued 2,665,505 shares of our common stock, resulting in net proceeds of approximately $2.8 million after deducting $0.4 million of sales agent commissions and other expenses, pursuant to the 2023 ATM Program. No shares were issued during the three and six months ended June 30, 2024.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expect to continue to incur expenses and operating losses for the immediate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3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and payment of potential debt maturities;</w:t>
      </w:r>
    </w:p>
    <w:p>
      <w:pPr>
        <w:spacing w:after="0" w:line="21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collaborations and partnerships and our ability to establish any future collaboration or commercialization arrangements on favorable terms, if at all;</w:t>
      </w:r>
    </w:p>
    <w:p>
      <w:pPr>
        <w:spacing w:after="0" w:line="202"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collaborations and partnerships, including receiving potential milestone payments from collaboration partners;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Until such time, if ever, as we can generate substantial U.S. product revenues and collaboration royalties,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and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or our other ex-U.S. partners, or other similar arrangements with third parties, we may have to relinquish valuable rights to our technologies, future revenue streams or grant licenses on terms that may not be favorable to us. If we are unable to raise additional funds through equity or permitted debt financings or through collaborations, strategic alliances or licensing arrangements or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the SEC rules.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President and Chief Executive Officer, who is our principal executive officer, and our Chief Financial Officer, who is our principal financial officer, as appropriate to allow timely decisions regarding required disclosure.</w:t>
      </w:r>
    </w:p>
    <w:p>
      <w:pPr>
        <w:spacing w:after="0" w:line="19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Company carried out the evaluation required by the Exchange Act Rules 13a-15(b) and 15d-15(b), under the supervision and with the participation of our management, including our Chief Executive Officer and Chief Financial Officer, of the effectiveness of our disclosure controls and procedures (as defined in the Exchange Act Rules 13a-15(e) and 15d-15(e)). Our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upon this evaluation, our Chief Executive Officer and Chief Financial Officer concluded that as of June 30, 2025, our disclosure controls and procedures were not effective due to a material weakness in our internal control over financial reporting described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connection with the preparation of this Quarterly Report on Form 10-Q,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Chief Executive Officer and Chief Financial Officer concluded that a material weakness in our internal control over financial reporting existed related to the accounting for inventory held at a certain third-party contract manufacturing organization.</w:t>
      </w:r>
    </w:p>
    <w:p>
      <w:pPr>
        <w:spacing w:after="0" w:line="2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 identified above, our management performed additional analyses as deemed necessary to ensure that our financial statements were prepared in accordance with generally accepted accounting principles in the United States of America, or U.S. GAAP. Notwithstanding the material weakness in our internal control over financial reporting, our management has concluded that the condensed financial statements and related notes thereto included in this Quarterly Report on Form 10-Q present fairly, in all material respects, our financial position, results of operations and cash flows for the periods presented in conformity with U.S.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oversight from the Audit Committee of our Board of Directors (the “Audit Committee”) and input from our management, we are in the process of designing and implementing changes to our processes and controls to remediate the material weakness disclosed above and to enhance our internal control over financial reporting, including enhanced controls related to inventory existence held at, and movements of inventory between, our third party contract manufacturing organizations.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than disclosed above, 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Quarterly Report on Form 10-Q and is incorporated by reference into this Item 1.</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those set forth in Part I, Item 1A in our Annual Report on Form 10-K for the fiscal year ended December 31, 2024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2024.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9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Complying with public company reporting and other obligations may strain our financial and managerial resources. Additionally, we are obligated to maintain proper and effective internal control over financial reporting. 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20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As a public company, we are required to comply with applicable provisions of the Sarbanes-Oxley Act of 2002, as well as other rules and regulations promulgated by the SEC and the NASDAQ Stock Market LLC, or NASDAQ, which results in significant continuing legal, accounting, administrative and other costs and expenses.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w:t>
      </w:r>
    </w:p>
    <w:p>
      <w:pPr>
        <w:spacing w:after="0" w:line="21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or Section 404, and the related rules of the SEC that generally require our management and independent registered public accounting firm to report on the effectiveness of our internal control over financial reporting. Section 404 requires an annual management assessment, as well as an opinion from our independent registered public accounting firm, on the effectiveness of our internal control over financial reporting.</w:t>
      </w:r>
    </w:p>
    <w:p>
      <w:pPr>
        <w:spacing w:after="0" w:line="208"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7"/>
          <w:szCs w:val="17"/>
          <w:color w:val="auto"/>
        </w:rPr>
        <w:t>During the course of our review and testing, we have identified, and may in the future identify, deficiencies in our internal control over financial reporting, including material weaknesses, and we may be unable to remediate them in a timely manner. For example, as described further below and in Part I, Item 4 “Controls and Procedures” of this Quarterly Report on Form 10-Q, we have identified a material weakness in our internal control over financial reporting.</w:t>
      </w:r>
    </w:p>
    <w:p>
      <w:pPr>
        <w:spacing w:after="0" w:line="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Any material weakness could result in our inability to detect errors on a timely basis, which could cause our financial statements to be materially misstated. As a result, we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addition, we are required to timely file accurate quarterly and annual reports with the SEC under the Securities Exchange Act of 1934, as amended, or the Exchange Act. In order to report our results of operations and financial statements on an accurate and timely basis, we depend on contract manufacturing organizations, clinical research organizations and other third-party vendors, as applicable, to provide timely and accurate financial information to us. Any failure to report our financial results on an accurate and timely basis could result in sanctions, lawsuits, delisting of our shares from the NASDAQ Global Market or other adverse consequences that would materially harm our business.</w:t>
      </w:r>
    </w:p>
    <w:p>
      <w:pPr>
        <w:spacing w:after="0" w:line="20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0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for the quarter ended June 30, 2025. Based on such evaluation, our principal executive officer and principal financial officer concluded that our disclosure controls and procedures were not effective at a reasonable assurance level as of June 30, 2025, due to the material weakness identified in our internal control over financial reporting, as described below.</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in Part I, Item 4 “Controls and Procedures” of this Quarterly Report on Form 10-Q, in connection with the preparation of this Quarterly Report on Form 10-Q,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principal executive officer and principal financial officer concluded that a material weakness in our internal control over financial reporting existed related to the accounting for inventory held at a certain third-party contract manufacturing organization.</w:t>
      </w:r>
    </w:p>
    <w:p>
      <w:pPr>
        <w:spacing w:after="0" w:line="20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With oversight from the Audit Committee and input from our management, we are in the process of designing and implementing changes to our processes and controls to remediate the material weakness disclosed above and to enhance our internal control over financial reporting, including enhanced controls related to inventory existence held at, and movements of inventory between, our third party contract manufacturing organizations. These controls will need to operate for a sufficient period of time for our management to conclude that they are operating effectively. Accordingly, the material weakness will not be considered remediated until our management has concluded, through implementation of these remediation measures and additional testing, that these controls are effective.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are in the process of undertaking actions to remediate this material weakness as described above, we cannot assure you that the measures we are taking, when fully implemented, will be sufficient to remediate the material weakness or to avoid the identification of additional material weaknesses in the future. If we are unable to successfully remediate our existing or any future material weaknesses in our internal control over financial reporting in a timely manner, or if we identify any additional material weaknesses, the accuracy and timeliness of our financial reporting may be adversely affected, we may be unable to maintain compliance with securities law requirements regarding timely filing of periodic reports and applicable NASDAQ Global Market listing requirements, investors may lose confidence in our financial reporting, and our share price may decline as a result. In addition, we could become subject to investigations by NASDAQ, the SEC or other regulatory authorities, which could require additional financial and management resources.</w:t>
      </w:r>
    </w:p>
    <w:p>
      <w:pPr>
        <w:spacing w:after="0" w:line="194"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September 30, 2025. Without appropriations of additional funding to federal agencies, our business operations related to our product development activities for the U.S. market could be impacted.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Disruptions and personnel turnover, as a result of leadership changes, staff reductions or otherwise, at the FDA and other agencies may also slow the time necessary for product applications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investigational new drug application submissions, issue regulations or guidance, or implement or enforce regulatory requirements in a timely fashion or at all.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2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may increase pressure to reduce prices of certain pharmaceutical products paid for by Medicare, which could materially adversely affect our revenue and our results of operations.</w:t>
      </w:r>
    </w:p>
    <w:p>
      <w:pPr>
        <w:spacing w:after="0" w:line="17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drug products, we expect that there will be additional pressure to reduce costs. These cost reduction initiatives and other provisions of this legislation could decrease the scope of coverage and the price that we receive for any approved products and could seriously harm our business.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This legislation may pose an even greater risk to bempedoic acid and the bempedoic acid / ezetimibe combination tablet than some other pharmaceutical products because a significant portion of the patient population for bempedoic acid and the bempedoic acid / ezetimibe combination tablet is over 65 years of age and, therefore, many such patients will be covered by Medicare.</w:t>
      </w:r>
    </w:p>
    <w:p>
      <w:pPr>
        <w:spacing w:after="0" w:line="21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growing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or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or the OBBB Act,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See “Business - Coverage, Reimbursement and Healthcare Reform” in Part I, Item 1A in our Annual Report on Form 10-K for the fiscal year ended December 31, 2024 for more discussion on healthcare reform efforts. The continuing efforts of the government, insurance companies, managed care organizations and other payors of healthcare services to contain or reduce costs of healthcare may adversely affect:</w:t>
      </w:r>
    </w:p>
    <w:p>
      <w:pPr>
        <w:spacing w:after="0" w:line="20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any products for which we may obtain regulatory approval;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2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methodologies, and additional downward pressure on the price that we receive for our products and any future approved product.</w:t>
      </w:r>
    </w:p>
    <w:p>
      <w:pPr>
        <w:spacing w:after="0" w:line="2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2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and similar entities.</w:t>
      </w:r>
    </w:p>
    <w:p>
      <w:pPr>
        <w:spacing w:after="0" w:line="19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Finally, the availability of generic LDL-C lowering treatments may also substantially reduce the level of reimbursement for branded counterparts or other competitive LDL-C lowering therapies, such as bempedoic acid or the bempedoic acid / ezetimibe combination tablet. We cannot be sure whether additional legislative changes will be enacted, or whether FDA regulations, guidance or interpretations will be changed, or what the impact of such changes on the marketing approvals of our products and future product candidates, if any, may be. In addition, increased scrutiny by Congress of the FDA’s approval process may significantly delay or prevent marketing approval, as well as subject us to more stringent product labeling and post-marketing testing and other requirements.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If we fail to successfully secure and maintain adequate reimbursement coverage for our products or are significantly delayed in doing so, we will have difficulty achieving market acceptance of our products and our business will be harmed.</w:t>
      </w:r>
    </w:p>
    <w:p>
      <w:pPr>
        <w:spacing w:after="0" w:line="208" w:lineRule="exact"/>
        <w:rPr>
          <w:sz w:val="20"/>
          <w:szCs w:val="20"/>
          <w:color w:val="auto"/>
        </w:rPr>
      </w:pPr>
    </w:p>
    <w:p>
      <w:pPr>
        <w:ind w:right="5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Unfavorable macroeconomic conditions or market volatility resulting from geopolitical developments or national or global economic conditions, including those affecting the financial services industry, could adversely affect our business, financial condition or results of operations.</w:t>
      </w:r>
    </w:p>
    <w:p>
      <w:pPr>
        <w:spacing w:after="0" w:line="17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Adverse market or macroeconomic conditions or market volatility resulting from geopolitical events, global economic developments, political unrest, high inflation, rising interest rates, tariffs, changes in international trade relationships and military conflicts, such as the ongoing conflict between Russia and Ukraine, the Israel-Hamas war, and the conflict between Israel and Iran or other factors, could materially and adversely affect our business operations.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2025, the United States imposed tariffs on imports on its trading partners, including Canada, Mexico, the EU and China. The new U.S. administration has threatened to continue to broadly impose tariffs, which could lead to corresponding punitive actions by the countries with which the U.S. trades. While certain tariffs have subsequently been suspended, modified or temporarily reduced, we cannot predict the results of the U.S. government’s trade negotiations or the outcome of ongoing legal challenges to specific tariff policies.</w:t>
      </w:r>
    </w:p>
    <w:p>
      <w:pPr>
        <w:spacing w:after="0" w:line="19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There can be no</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assurance that further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20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A severe or prolonged economic downturn or additional global financial crises could result in a variety of risks to our business, including weakened demand for any product candidates we develop or our ability to raise additional capital when needed on acceptable terms, if at all.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w:t>
      </w:r>
    </w:p>
    <w:p>
      <w:pPr>
        <w:spacing w:after="0" w:line="21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could adversely impact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2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For example, the OBBB Act was signed into law on July 4, 2025 and made significant changes to U.S. federal tax law. Changes to tax laws (which changes may have retroactive application), including with respect to net operating losses and research and development tax credits could adversely affect our business. For example, under the OBBB Act, there were modifications to capitalization of research and development expenses, limitations on deductions for interest expense and accelerated fixed asset depreciation, among others.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We continue to examine the impact this tax reform legislation may have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(as defined in Rule 16a-1 under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gridSpan w:val="17"/>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7"/>
            <w:vMerge w:val="continue"/>
          </w:tcPr>
          <w:p>
            <w:pPr>
              <w:spacing w:after="0"/>
              <w:rPr>
                <w:sz w:val="17"/>
                <w:szCs w:val="17"/>
                <w:color w:val="auto"/>
              </w:rPr>
            </w:pP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0"/>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Certificate of Incorporation of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3.2</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Registrant</w:t>
              </w:r>
            </w:hyperlink>
          </w:p>
        </w:tc>
        <w:tc>
          <w:tcPr>
            <w:tcW w:w="306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0"/>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Certificate of Amendment to Amended and Restated Certificate of</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Incorporation of the Registrant</w:t>
              </w:r>
            </w:hyperlink>
          </w:p>
        </w:tc>
        <w:tc>
          <w:tcPr>
            <w:tcW w:w="23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0"/>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Certificate of Validation relating to Certificate of Amendment to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Amended and Restated Certificate of Incorporation of the</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Registrant dated May 26, 2022</w:t>
              </w:r>
            </w:hyperlink>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0"/>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Certificate of Amendment No. 2 to Amended and Restated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15,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Certificate of Incorporation of the Registrant</w:t>
              </w:r>
            </w:hyperlink>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5</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0"/>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Second Amended and Restated Bylaws of the Registrant dated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10-Q</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4,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April 29, 2021</w:t>
              </w:r>
            </w:hyperlink>
          </w:p>
        </w:tc>
        <w:tc>
          <w:tcPr>
            <w:tcW w:w="3100" w:type="dxa"/>
            <w:vAlign w:val="bottom"/>
            <w:tcBorders>
              <w:top w:val="single" w:sz="8" w:color="0000FF"/>
            </w:tcBorders>
            <w:gridSpan w:val="8"/>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63">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0"/>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Specimen Common Stock Certificate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2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 Financial</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440" w:type="dxa"/>
            <w:vAlign w:val="bottom"/>
            <w:tcBorders>
              <w:top w:val="single" w:sz="8" w:color="0000FF"/>
            </w:tcBorders>
            <w:gridSpan w:val="19"/>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260" w:type="dxa"/>
            <w:vAlign w:val="bottom"/>
            <w:tcBorders>
              <w:top w:val="single" w:sz="8" w:color="0000FF"/>
            </w:tcBorders>
            <w:gridSpan w:val="9"/>
          </w:tcPr>
          <w:p>
            <w:pPr>
              <w:spacing w:after="0"/>
              <w:rPr>
                <w:sz w:val="12"/>
                <w:szCs w:val="12"/>
                <w:color w:val="auto"/>
              </w:rPr>
            </w:pPr>
          </w:p>
        </w:tc>
        <w:tc>
          <w:tcPr>
            <w:tcW w:w="220" w:type="dxa"/>
            <w:vAlign w:val="bottom"/>
            <w:gridSpan w:val="3"/>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45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900" w:hanging="325"/>
        <w:spacing w:after="0" w:line="266" w:lineRule="auto"/>
        <w:tabs>
          <w:tab w:leader="none" w:pos="8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8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76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August 13, 2025</w:t>
            </w:r>
          </w:p>
        </w:tc>
        <w:tc>
          <w:tcPr>
            <w:tcW w:w="26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3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August 13, 2025</w:t>
            </w:r>
          </w:p>
        </w:tc>
        <w:tc>
          <w:tcPr>
            <w:tcW w:w="26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3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21"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Benjamin Halladay,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June 30, 2025,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526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
      <w:numFmt w:val="bullet"/>
      <w:start w:val="1"/>
    </w:lvl>
  </w:abstractNum>
  <w:abstractNum w:abstractNumId="8">
    <w:nsid w:val="140E0F76"/>
    <w:multiLevelType w:val="hybridMultilevel"/>
    <w:lvl w:ilvl="0">
      <w:lvlJc w:val="left"/>
      <w:lvlText w:val="%1"/>
      <w:numFmt w:val="upperLetter"/>
      <w:start w:val="6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58" Type="http://schemas.openxmlformats.org/officeDocument/2006/relationships/hyperlink" Target="https://www.sec.gov/Archives/edgar/data/1434868/000104746913006896/a2215641zex-3_2.htm" TargetMode="External"/><Relationship Id="rId59" Type="http://schemas.openxmlformats.org/officeDocument/2006/relationships/hyperlink" Target="https://www.sec.gov/Archives/edgar/data/1434868/000162828022015488/exhibit31.htm" TargetMode="External"/><Relationship Id="rId60" Type="http://schemas.openxmlformats.org/officeDocument/2006/relationships/hyperlink" Target="https://www.sec.gov/Archives/edgar/data/1434868/000162828022025245/exhibit31certificateofvali.htm" TargetMode="External"/><Relationship Id="rId61" Type="http://schemas.openxmlformats.org/officeDocument/2006/relationships/hyperlink" Target="https://www.sec.gov/Archives/edgar/data/1434868/000162828023022276/exhibit3162023.htm" TargetMode="External"/><Relationship Id="rId62" Type="http://schemas.openxmlformats.org/officeDocument/2006/relationships/hyperlink" Target="https://www.sec.gov/Archives/edgar/data/1434868/000162828021008918/ex31-secondamendedandresta.htm" TargetMode="External"/><Relationship Id="rId63" Type="http://schemas.openxmlformats.org/officeDocument/2006/relationships/hyperlink" Target="https://www.sec.gov/Archives/edgar/data/1434868/000104746913006896/a2215641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2025-08-13T15:18:53Z</dcterms:created>
  <dcterms:modified xsi:type="dcterms:W3CDTF">2025-08-13T15:18:53Z</dcterms:modified>
</cp:coreProperties>
</file>