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548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548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FORM 10-K</w:t>
      </w:r>
    </w:p>
    <w:p>
      <w:pPr>
        <w:sectPr>
          <w:pgSz w:w="11900" w:h="16838" w:orient="portrait"/>
          <w:cols w:equalWidth="0" w:num="1">
            <w:col w:w="11180"/>
          </w:cols>
          <w:pgMar w:left="320" w:top="1199" w:right="399" w:bottom="1440" w:gutter="0" w:footer="0" w:header="0"/>
        </w:sectPr>
      </w:pPr>
    </w:p>
    <w:p>
      <w:pPr>
        <w:spacing w:after="0" w:line="103" w:lineRule="exact"/>
        <w:rPr>
          <w:sz w:val="24"/>
          <w:szCs w:val="24"/>
          <w:color w:val="auto"/>
        </w:rPr>
      </w:pPr>
    </w:p>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4" w:lineRule="exact"/>
        <w:rPr>
          <w:sz w:val="24"/>
          <w:szCs w:val="24"/>
          <w:color w:val="auto"/>
        </w:rPr>
      </w:pPr>
    </w:p>
    <w:p>
      <w:pPr>
        <w:jc w:val="center"/>
        <w:ind w:left="28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left="2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color w:val="auto"/>
        </w:rPr>
        <w:t>December 31, 2022</w:t>
      </w:r>
    </w:p>
    <w:p>
      <w:pPr>
        <w:spacing w:after="0" w:line="6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3380" w:right="2620" w:hanging="3368"/>
        <w:spacing w:after="0" w:line="472" w:lineRule="auto"/>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Commission file number: 001-35986</w:t>
      </w:r>
    </w:p>
    <w:p>
      <w:pPr>
        <w:spacing w:after="0" w:line="73" w:lineRule="exact"/>
        <w:rPr>
          <w:sz w:val="24"/>
          <w:szCs w:val="24"/>
          <w:color w:val="auto"/>
        </w:rPr>
      </w:pPr>
    </w:p>
    <w:p>
      <w:pPr>
        <w:sectPr>
          <w:pgSz w:w="11900" w:h="16838" w:orient="portrait"/>
          <w:cols w:equalWidth="0" w:num="2">
            <w:col w:w="1020" w:space="220"/>
            <w:col w:w="9940"/>
          </w:cols>
          <w:pgMar w:left="320" w:top="1199"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Esperion Therapeutics, Inc.</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80" w:type="dxa"/>
            <w:vAlign w:val="bottom"/>
            <w:gridSpan w:val="4"/>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20" w:type="dxa"/>
            <w:vAlign w:val="bottom"/>
            <w:gridSpan w:val="2"/>
          </w:tcPr>
          <w:p>
            <w:pPr>
              <w:jc w:val="right"/>
              <w:ind w:right="2808"/>
              <w:spacing w:after="0"/>
              <w:rPr>
                <w:sz w:val="20"/>
                <w:szCs w:val="20"/>
                <w:color w:val="auto"/>
              </w:rPr>
            </w:pPr>
            <w:r>
              <w:rPr>
                <w:rFonts w:ascii="Times New Roman" w:cs="Times New Roman" w:eastAsia="Times New Roman" w:hAnsi="Times New Roman"/>
                <w:sz w:val="14"/>
                <w:szCs w:val="14"/>
                <w:b w:val="1"/>
                <w:bCs w:val="1"/>
                <w:color w:val="auto"/>
              </w:rPr>
              <w:t>26-1870780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680" w:type="dxa"/>
            <w:vAlign w:val="bottom"/>
            <w:gridSpan w:val="5"/>
          </w:tcPr>
          <w:p>
            <w:pPr>
              <w:jc w:val="center"/>
              <w:ind w:left="9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420" w:type="dxa"/>
            <w:vAlign w:val="bottom"/>
            <w:gridSpan w:val="2"/>
          </w:tcPr>
          <w:p>
            <w:pPr>
              <w:jc w:val="center"/>
              <w:ind w:right="19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69"/>
        </w:trPr>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8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3891 Ranchero Drive, Suite 150</w:t>
            </w:r>
          </w:p>
        </w:tc>
        <w:tc>
          <w:tcPr>
            <w:tcW w:w="1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 Arbor, MI 48108</w:t>
            </w:r>
          </w:p>
        </w:tc>
        <w:tc>
          <w:tcPr>
            <w:tcW w:w="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700" w:type="dxa"/>
            <w:vAlign w:val="bottom"/>
            <w:gridSpan w:val="6"/>
          </w:tcPr>
          <w:p>
            <w:pPr>
              <w:jc w:val="center"/>
              <w:ind w:right="3328"/>
              <w:spacing w:after="0"/>
              <w:rPr>
                <w:sz w:val="20"/>
                <w:szCs w:val="20"/>
                <w:color w:val="auto"/>
              </w:rPr>
            </w:pPr>
            <w:r>
              <w:rPr>
                <w:rFonts w:ascii="Times New Roman" w:cs="Times New Roman" w:eastAsia="Times New Roman" w:hAnsi="Times New Roman"/>
                <w:sz w:val="14"/>
                <w:szCs w:val="14"/>
                <w:color w:val="auto"/>
              </w:rPr>
              <w:t>(Address of principal executive office) (Zip Code)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700" w:type="dxa"/>
            <w:vAlign w:val="bottom"/>
            <w:gridSpan w:val="6"/>
          </w:tcPr>
          <w:p>
            <w:pPr>
              <w:jc w:val="center"/>
              <w:ind w:right="33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40" w:type="dxa"/>
            <w:vAlign w:val="bottom"/>
            <w:gridSpan w:val="3"/>
          </w:tcPr>
          <w:p>
            <w:pPr>
              <w:jc w:val="center"/>
              <w:ind w:left="1186"/>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4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tcPr>
          <w:p>
            <w:pPr>
              <w:spacing w:after="0"/>
              <w:rPr>
                <w:sz w:val="23"/>
                <w:szCs w:val="2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40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ESPR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p>
      <w:pPr>
        <w:ind w:left="80"/>
        <w:spacing w:after="0" w:line="161" w:lineRule="exact"/>
        <w:tabs>
          <w:tab w:leader="none" w:pos="1740" w:val="left"/>
          <w:tab w:leader="none" w:pos="3040" w:val="left"/>
          <w:tab w:leader="none" w:pos="4660" w:val="left"/>
          <w:tab w:leader="none" w:pos="5940" w:val="left"/>
          <w:tab w:leader="none" w:pos="7560" w:val="left"/>
          <w:tab w:leader="none" w:pos="888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ind w:left="8900"/>
        <w:spacing w:after="0" w:line="161" w:lineRule="exact"/>
        <w:tabs>
          <w:tab w:leader="none" w:pos="109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9" w:lineRule="exact"/>
        <w:rPr>
          <w:sz w:val="24"/>
          <w:szCs w:val="24"/>
          <w:color w:val="auto"/>
        </w:rPr>
      </w:pPr>
    </w:p>
    <w:p>
      <w:pPr>
        <w:ind w:right="50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jc w:val="both"/>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auto"/>
        </w:rPr>
        <w:t>.</w:t>
      </w:r>
      <w:r>
        <w:rPr>
          <w:rFonts w:ascii="MS PGothic" w:cs="MS PGothic" w:eastAsia="MS PGothic" w:hAnsi="MS PGothic"/>
          <w:sz w:val="14"/>
          <w:szCs w:val="14"/>
          <w:color w:val="auto"/>
        </w:rPr>
        <w:t>☐</w:t>
      </w:r>
    </w:p>
    <w:p>
      <w:pPr>
        <w:ind w:right="220"/>
        <w:spacing w:after="0" w:line="188"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14"/>
          <w:szCs w:val="14"/>
          <w:color w:val="auto"/>
        </w:rPr>
        <w:t>.</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30, 2022, based upon the closing price of $6.36 of the registrant’s common stock as reported on the NASDAQ Global Market, was $422.3 million. For purposes of foregoing calculation only, all directors and executive officers of the registrants are assumed to be affiliates of the registrant. This determination of affiliate status is not a determination for other purposes.</w:t>
      </w:r>
    </w:p>
    <w:p>
      <w:pPr>
        <w:spacing w:after="0"/>
        <w:rPr>
          <w:sz w:val="20"/>
          <w:szCs w:val="20"/>
          <w:color w:val="auto"/>
        </w:rPr>
      </w:pPr>
      <w:r>
        <w:rPr>
          <w:rFonts w:ascii="Times New Roman" w:cs="Times New Roman" w:eastAsia="Times New Roman" w:hAnsi="Times New Roman"/>
          <w:sz w:val="14"/>
          <w:szCs w:val="14"/>
          <w:color w:val="auto"/>
        </w:rPr>
        <w:t>As of February 1, 2023, there were 76,572,830 shares of the registrant’s common stock, $0.001 par value per share, outstanding.</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definitive Proxy Statement for the registrant’s 2023 Annual Meeting of Shareholders, which is expected to be filed with the Securities and Exchange Commission not later than 120 days after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22860</wp:posOffset>
            </wp:positionV>
            <wp:extent cx="7054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-1905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gridSpan w:val="18"/>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380" w:type="dxa"/>
            <w:vAlign w:val="bottom"/>
            <w:gridSpan w:val="10"/>
            <w:vMerge w:val="restart"/>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4380" w:type="dxa"/>
            <w:vAlign w:val="bottom"/>
            <w:gridSpan w:val="10"/>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60" w:type="dxa"/>
            <w:vAlign w:val="bottom"/>
            <w:gridSpan w:val="2"/>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Properties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340" w:type="dxa"/>
            <w:vAlign w:val="bottom"/>
            <w:gridSpan w:val="9"/>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60" w:type="dxa"/>
            <w:vAlign w:val="bottom"/>
            <w:gridSpan w:val="2"/>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60" w:type="dxa"/>
            <w:vAlign w:val="bottom"/>
            <w:gridSpan w:val="2"/>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60" w:type="dxa"/>
            <w:vAlign w:val="bottom"/>
            <w:gridSpan w:val="2"/>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7A.</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80" w:type="dxa"/>
            <w:vAlign w:val="bottom"/>
            <w:tcBorders>
              <w:top w:val="single" w:sz="8" w:color="0000FF"/>
            </w:tcBorders>
          </w:tcPr>
          <w:p>
            <w:pPr>
              <w:spacing w:after="0"/>
              <w:rPr>
                <w:sz w:val="18"/>
                <w:szCs w:val="18"/>
                <w:color w:val="auto"/>
              </w:rPr>
            </w:pPr>
          </w:p>
        </w:tc>
        <w:tc>
          <w:tcPr>
            <w:tcW w:w="402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10.</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12.</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13.</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14.</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gridSpan w:val="16"/>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15.</w:t>
            </w:r>
          </w:p>
        </w:tc>
        <w:tc>
          <w:tcPr>
            <w:tcW w:w="424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7"/>
          </w:tcPr>
          <w:p>
            <w:pPr>
              <w:spacing w:after="0"/>
              <w:rPr>
                <w:sz w:val="18"/>
                <w:szCs w:val="18"/>
                <w:color w:val="auto"/>
              </w:rPr>
            </w:pPr>
          </w:p>
        </w:tc>
        <w:tc>
          <w:tcPr>
            <w:tcW w:w="4320" w:type="dxa"/>
            <w:vAlign w:val="bottom"/>
            <w:gridSpan w:val="8"/>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60" w:type="dxa"/>
            <w:vAlign w:val="bottom"/>
            <w:gridSpan w:val="1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380" w:type="dxa"/>
            <w:vAlign w:val="bottom"/>
            <w:gridSpan w:val="2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780" w:type="dxa"/>
            <w:vAlign w:val="bottom"/>
            <w:gridSpan w:val="16"/>
          </w:tcPr>
          <w:p>
            <w:pPr>
              <w:jc w:val="center"/>
              <w:ind w:left="3130"/>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before making an investment decision, including those highlighted in the section entitled “Risk Factors.” These risks include, but are not limited to, the following:</w:t>
      </w:r>
    </w:p>
    <w:p>
      <w:pPr>
        <w:spacing w:after="0" w:line="162" w:lineRule="exact"/>
        <w:rPr>
          <w:sz w:val="20"/>
          <w:szCs w:val="20"/>
          <w:color w:val="auto"/>
        </w:rPr>
      </w:pPr>
    </w:p>
    <w:p>
      <w:pPr>
        <w:ind w:left="660" w:right="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almost entirely on the success of two products, bempedoic acid tablet and the bempedoic acid / ezetimibe combination tablet. There is no assurance that our commercialization efforts in the U.S. with respect to either product will be successful or that we will be able to generate revenues at the levels or within the timing we expect or at the levels or within the timing necessary to support our goals.</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as a commercial company and limited experience in the marketing and sale of NEXLETOL® (bempedoic acid) tablet and NEXLIZET® (bempedoic acid and ezetimibe) tablet in the U.S.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 and third-party payors are subject to applicable anti-kickback, fraud and abuse, and other healthcare laws and regulations, and health information privacy and security laws, which could expose us to criminal sanctions, civil penalties, contractual damages,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adequate coverage and reimbursement for new or current products could limit our ability to market those products and decrease our ability to generate revenue.</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may increase the difficulty and cost for us to obtain marketing approval of and commercialize our drug candidates and may decrease the prices we may obtain for our approved drugs.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approved drugs, and of any future approved drugs, will depend upon, among other things, the degree of market acceptance by physicians, patients, third-party payors, and others in the medical community.</w:t>
      </w:r>
    </w:p>
    <w:p>
      <w:pPr>
        <w:spacing w:after="0" w:line="161"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regulatory approval from the U.S. Food and Drug Administration, or FDA, the European Commission, or EC (which, with respect to the United Kingdom, converted to a Great Britain marketing authorization on January 1, 2021), and the Swiss Agency for Therapeutic Products, or Swissmedic, for both of our leading products as an adjunct to diet and maximally tolerated statin therapy for the treatment of adults with heterozygous familial hypercholesterolemia, or HeFH, or established atherosclerotic cardiovascular disease, or ASCVD, who require additional lowering of low density lipoprotein cholesterol, or LDL-C, but we cannot be certain that we will be able to obtain approval from regulatory authorities in other territories we or our ex-U.S. commercial partners decide to pursue, or successfully commercialize our products and any future product candidates. Additionally, we cannot be certain that we will be able to obtain approval of either of our products for any other indication or approval of any future product candidates.</w:t>
      </w:r>
    </w:p>
    <w:p>
      <w:pPr>
        <w:spacing w:after="0" w:line="178" w:lineRule="exact"/>
        <w:rPr>
          <w:rFonts w:ascii="Times New Roman" w:cs="Times New Roman" w:eastAsia="Times New Roman" w:hAnsi="Times New Roman"/>
          <w:sz w:val="18"/>
          <w:szCs w:val="18"/>
          <w:color w:val="auto"/>
        </w:rPr>
      </w:pPr>
    </w:p>
    <w:p>
      <w:pPr>
        <w:ind w:left="660" w:right="60" w:hanging="328"/>
        <w:spacing w:after="0" w:line="24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successfully completed our CLEAR cardiovascular outcomes trial, or CVOT, for bempedoic acid and the trial met its primary endpoint, regulatory authorities may not approve any expanded indications for our products in the U.S. or other territories, and as a result, we may not receive significant milestone payments from our ex-U.S. commercial partners which could delay, prevent or limit our ability to generate revenue and continue our business.</w:t>
      </w:r>
    </w:p>
    <w:p>
      <w:pPr>
        <w:spacing w:after="0" w:line="2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approved drugs and any drug candidates for which we obtain marketing approval will be subject to ongoing enforcement of post-marketing requirements and we could be subject to substantial penalties, including withdrawal of our approved drugs or any future approved products from the market, if we fail to comply with all regulatory requirements or if we experience unanticipated problems with our approved drugs or any future approved products, when and if any of them are approved.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substantial additional capital in the future. If additional capital is not available, we will have to delay, reduce or cease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2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contract with third parties for the manufacture of bempedoic acid tablet and the bempedoic acid / ezetimibe combination tablet for commercialization and clinical trials. This reliance on third parties increases the risk that we will not have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sufficient quantities of our drugs or drug candidates or such quantities at an acceptable cost or quality, which could delay, prevent, or impair our development or commercialization efforts.</w:t>
      </w:r>
    </w:p>
    <w:p>
      <w:pPr>
        <w:spacing w:after="0" w:line="162"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7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adequately prevent disclosure of trade secrets and other proprietary information, the value of our technology and products could be significantly diminished.</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Servicing our debt may require a significant amount of cash. If such cash is not available, we will have to delay, reduce or cease operations.</w:t>
      </w:r>
    </w:p>
    <w:p>
      <w:pPr>
        <w:spacing w:after="0" w:line="22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an increased risk of securities class action litigation.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76" w:lineRule="exact"/>
        <w:rPr>
          <w:sz w:val="20"/>
          <w:szCs w:val="20"/>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NEXLETOL® (bempedoic acid) tablet and NEXLIZET® (bempedoic acid and ezetimibe) tablet in the United States and any other jurisdictions where we may receive marketing approval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approved drugs or obtain and maintain regulatory approval for any of our current or future drug candidates, and any related restrictions, limitations, and/or warnings in the labels of NEXLETOL, NEXLIZET, NILEMDO® (bempedoic acid) tablet and NUSTENDI® (bempedoic acid and ezetimibe) tablet, or any of our current or future drug candidates that may receive marketing approval;</w:t>
      </w:r>
    </w:p>
    <w:p>
      <w:pPr>
        <w:spacing w:after="0" w:line="17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for our approved drugs or any current or future drug candidate for which we may receive marketing approval;</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managing our commercial infrastructure and successfully launch, market, and sell our approved drugs and any current or future drug candidate (or additional indications) for which we may receive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clinical, regulatory or commercial milestones with our existing cash resources;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regulatory approval in the U.S. and other territories for additional indications based on the results of the CVOT of bempedoic acid, obtain applicable milestone payments from our partners and generate additional revenue as a result of the expanded indications for our products;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the commercial collaboration and license arrangement with Daiichi Sankyo Europe GmbH, or DSE, Otsuka Pharmaceutical Co., Ltd., or Otsuka, and Daiichi Sankyo Co. Ltd, or DS, and of our revenue interest purchase agreement with Eiger II SA LLC, or Oberland, an affiliate of Oberland Capital LLC;</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a completed clinical study in a future clinical study;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effectiveness or safety of bempedoic acid and the bempedoic acid / ezetimibe combination tablet, as compared to statins and other low density lipoprotein cholesterol, or LDL-C, lowering therapies, either those currently available or those in development;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and adhere to changes in regulatory requirements, including any requirement to conduct additional, unplanned clinical studies in connection with our pursuit of bempedoic acid and the bempedoic acid / ezetimibe combination tablet as LDL-C or cardiovascular risk lowering therapies;</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relating to LDL-C levels and cardiovascular risk that are generally accepted within the medical community, including recent changes and any future changes to such guidelines;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policies, including any future changes to such policies or related legislative, executive, or administrative actions, and their impact on our ability to market, distribute and obtain payment for bempedoic acid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bempedoic acid / ezetimibe combination tablet in the United States and in Europe, and, if approved, in other territories;</w:t>
      </w:r>
    </w:p>
    <w:p>
      <w:pPr>
        <w:spacing w:after="0" w:line="225" w:lineRule="exact"/>
        <w:rPr>
          <w:sz w:val="20"/>
          <w:szCs w:val="20"/>
          <w:color w:val="auto"/>
        </w:rPr>
      </w:pPr>
    </w:p>
    <w:p>
      <w:pPr>
        <w:jc w:val="both"/>
        <w:ind w:left="660" w:right="1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growth potential of the LDL-C and cardiovascular risk lowering markets and the rate and degree of bempedoic acid and the bempedoic acid / ezetimibe combination tablet's market acceptance in the United States and in Europe, and, if approved, in other territories;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healthcare laws and regulations in the U.S. and any foreign countries, including, without limitation, those applying to the marketing and sale of commercial drugs;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bempedoic acid and the bempedoic acid / ezetimibe combination tablet without infringing on the intellectual property rights of others in the U.S., Europe and other territories;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including scientific, clinical, commercial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and ability to establish strategic relationships or partnerships, as needed;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payment obligations under our revenue interest purchase agreement and to service the interest on our convertible notes and repay such notes, to the extent required;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economic slowdowns or recessions that may result from, among others, the outbreak of COVID-19 or an inflationary environment, which could harm our commercialization efforts, as well as the value of our common stock and our ability to access capital markets; and</w:t>
      </w:r>
    </w:p>
    <w:p>
      <w:pPr>
        <w:spacing w:after="0" w:line="17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that are, or may be, developing or selling products that may compete with bempedoic acid and the bempedoic acid / ezetimibe combination tablet, in the United States and in Europe, and, if approved, in other territories.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report are the property of their respective holders. Unless the context requires otherwise, references in this report to “Esperion” the “Company,” “we,” “us,” and “our” refer to Esperion Therapeutics,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Esperion is a pharmaceutical company singularly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 xml:space="preserve">We recently completed a global cardiovascular outcomes trial, or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who are statin averse and who have CVD or are at high risk for CVD. We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we announced that the study had met its primary endpoint. We anticipate reporting full results from the study at ACC.23 Annual Scientific Session &amp; Expo together with the World Congress of Cardiology (ACC.23/WCC) on March 4, 2023. We intend to use results from this CVOT to support submissions for a CV risk reduction indication in the U.S., Europe and other territories and plan to submit applications for such regulatory approvals in the first half of 2023.</w:t>
      </w:r>
    </w:p>
    <w:p>
      <w:pPr>
        <w:spacing w:after="0" w:line="21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November 23, 2022, we entered into a waiver and amendment to our Revenue Interest Purchase Agreement, or RIPA, with Eiger III SA LLC, or Oberland, in which we agreed to make a one-time partial call payment with regards to the Revenue Interests (as defined in the RIPA) in an amount equal to $50 million from our restricted cash account (the “Partial Call”). Under this amendment, the amount of the Cumulative Purchaser Payments (as defined in the RIPA) was reduced to $177,777,778. Refer to Note 10 in our audited financial statements appearing elsewhere in this Annual Report on Form 10-K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November 2016, we announced the publication of “Liver-specific ATP Citrate Lyase inhibition by bempedoic acid decreases LDL-C and attenuates atherosclerosis,” by Pinkosky et al.,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The paper outlines the experiments and analyses undertaken by us and our collaborators to understand the mechanism of action for how bempedoic acid reduces LDL-C, including its specificity for the liver. Bempedoic acid is an adenosine triphosphate-citrate lyase, or ACL, inhibitor that lowers LDL-C by inhibition of cholesterol synthesis in the liver. ACL is an enzyme upstream of 3-hydroxy-3-methyl-glutaryl-coenzyme A, or HMG-CoA, reductase in the cholesterol biosynthesis pathway. Bempedoic acid and its active metabolite, ESP15228, require coenzyme A, or CoA, activation by very long-chain acyl-CoA synthetase 1, or ACSVL1, to ETC-1002-CoA and ESP15228-CoA, respectively. ACSVL1 is expressed primarily in the liver. Inhibition of ACL by ETC-1002-CoA results in decreased cholesterol synthesis in the liver and lowers LDL-C in blood via upregulation of low-density lipoprotein receptors.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Cardiovascular Disease and Elevated LDL-C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Cardiovascular disease, which includes heart attacks, strokes and other cardiovascular events, represents the number one cause of death globally. The American Heart Association, or AHA, has estimated there are approximately 875,000 deaths in the United States annually caused by cardiovascular disease in its 2022 Heart Disease and Stroke Statistics update.</w:t>
      </w:r>
    </w:p>
    <w:p>
      <w:pPr>
        <w:spacing w:after="0" w:line="16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Elevated LDL-C is well-accepted as a significant risk factor for cardiovascular disease. In the U.S. there are 96 million people, or more than 37 percent of the U.S. adult population, that have elevated levels of LDL-C. A consequence of elevated LDL-C is atherosclerosis, which is a disease characterized by the deposition of excess LDL and other similar lipid-containing particles in the walls of arteries. This process leads to the formation of atherosclerotic plaque</w:t>
      </w:r>
    </w:p>
    <w:p>
      <w:pPr>
        <w:ind w:right="60"/>
        <w:spacing w:after="0" w:line="239" w:lineRule="auto"/>
        <w:rPr>
          <w:sz w:val="20"/>
          <w:szCs w:val="20"/>
          <w:color w:val="auto"/>
        </w:rPr>
      </w:pPr>
      <w:r>
        <w:rPr>
          <w:rFonts w:ascii="Times New Roman" w:cs="Times New Roman" w:eastAsia="Times New Roman" w:hAnsi="Times New Roman"/>
          <w:sz w:val="18"/>
          <w:szCs w:val="18"/>
          <w:color w:val="auto"/>
        </w:rPr>
        <w:t>lesions in the artery walls. Depending upon their location, continued progression of atherosclerotic plaques can lead to heart attacks, strokes and peripheral artery disease. The risk relationship between elevated LDL-C and cardiovascular disease was first defined by the Framingham Heart Study, which commenced in 1948 to define factors that contributed to the development of cardiovascular disease. The study enrolled participants who did not have any form of cardiovascular disease and followed them over a long period of time. Elevated LDL-C was identified early on as a key risk factor for the eventual development of cardiovascular disease. Since then, numerous additional studies across a variety of settings have reinforced this relationship.</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first marketed statin, lovastatin, was approved for use in the United States in 1987 as a therapy to lower elevated LDL-C levels. That same year, the National Cholesterol Education Program issued its first guidelines for the diagnosis and treatment of patients with elevated LDL-C. Over the subsequent 22 years, seven more statins were approved for use to lower elevated LDL-C levels.</w:t>
      </w:r>
    </w:p>
    <w:p>
      <w:pPr>
        <w:spacing w:after="0" w:line="16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 1994 the first cardiovascular outcomes study with a statin was published. This study demonstrated a significant reduction in risk for total mortality and major cardiovascular events. A series of additional clinical outcomes studies with statins have each shown that lowering elevated LDL-C translated into reduced risk for major cardiovascular events and established the benefit of LDL-lowering in a broad range of patients. The relationship between the extent of absolute LDL-C lowering and reduction in cardiovascular risk appeared to be linear, which has supported a hypothesis that lower LDL-C is associated with lower cardiovascular risk. This hypothesis was tested and proven in the TNT (Treating to New Targets) study where an on-treatment LDL-C level of 77 mg/dL associated with 80 mg of atorvastatin treatment translated into a statistically significant 22% reduction in risk of major cardiovascular events as compared with the 101 mg/dL on-treatment LDL-C level associated with 10 mg of atorvastatin.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Examples of Major Completed Clinical Outcomes Studies with Statin Therapies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Study name</w:t>
            </w:r>
          </w:p>
        </w:tc>
        <w:tc>
          <w:tcPr>
            <w:tcW w:w="20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4S</w:t>
            </w: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WOSCOPS</w:t>
            </w:r>
          </w:p>
        </w:tc>
        <w:tc>
          <w:tcPr>
            <w:tcW w:w="2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AFCAPS/TexCAPS</w:t>
            </w:r>
          </w:p>
        </w:tc>
        <w:tc>
          <w:tcPr>
            <w:tcW w:w="19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TNT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JUPITER</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Study drug</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Simvastatin</w:t>
            </w: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Pravastatin</w:t>
            </w:r>
          </w:p>
        </w:tc>
        <w:tc>
          <w:tcPr>
            <w:tcW w:w="5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Lovastatin</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Atorvastatin</w:t>
            </w:r>
          </w:p>
        </w:tc>
        <w:tc>
          <w:tcPr>
            <w:tcW w:w="5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Rosuvastatin</w:t>
            </w: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 of patients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4,444</w:t>
            </w:r>
          </w:p>
        </w:tc>
        <w:tc>
          <w:tcPr>
            <w:tcW w:w="5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6,595</w:t>
            </w:r>
          </w:p>
        </w:tc>
        <w:tc>
          <w:tcPr>
            <w:tcW w:w="5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6,605</w:t>
            </w:r>
          </w:p>
        </w:tc>
        <w:tc>
          <w:tcPr>
            <w:tcW w:w="5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10,001</w:t>
            </w:r>
          </w:p>
        </w:tc>
        <w:tc>
          <w:tcPr>
            <w:tcW w:w="5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17,803</w:t>
            </w:r>
          </w:p>
        </w:tc>
        <w:tc>
          <w:tcPr>
            <w:tcW w:w="0" w:type="dxa"/>
            <w:vAlign w:val="bottom"/>
          </w:tcPr>
          <w:p>
            <w:pPr>
              <w:spacing w:after="0"/>
              <w:rPr>
                <w:sz w:val="1"/>
                <w:szCs w:val="1"/>
                <w:color w:val="auto"/>
              </w:rPr>
            </w:pPr>
          </w:p>
        </w:tc>
      </w:tr>
      <w:tr>
        <w:trPr>
          <w:trHeight w:val="142"/>
        </w:trPr>
        <w:tc>
          <w:tcPr>
            <w:tcW w:w="1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Study design</w:t>
            </w:r>
          </w:p>
        </w:tc>
        <w:tc>
          <w:tcPr>
            <w:tcW w:w="2000" w:type="dxa"/>
            <w:vAlign w:val="bottom"/>
            <w:gridSpan w:val="2"/>
            <w:shd w:val="clear" w:color="auto" w:fill="CCEEFF"/>
          </w:tcPr>
          <w:p>
            <w:pPr>
              <w:jc w:val="center"/>
              <w:ind w:right="500"/>
              <w:spacing w:after="0" w:line="142" w:lineRule="exact"/>
              <w:rPr>
                <w:sz w:val="20"/>
                <w:szCs w:val="20"/>
                <w:color w:val="auto"/>
              </w:rPr>
            </w:pPr>
            <w:r>
              <w:rPr>
                <w:rFonts w:ascii="Times New Roman" w:cs="Times New Roman" w:eastAsia="Times New Roman" w:hAnsi="Times New Roman"/>
                <w:sz w:val="14"/>
                <w:szCs w:val="14"/>
                <w:color w:val="auto"/>
              </w:rPr>
              <w:t>Placebo controlled,</w:t>
            </w:r>
          </w:p>
        </w:tc>
        <w:tc>
          <w:tcPr>
            <w:tcW w:w="1980" w:type="dxa"/>
            <w:vAlign w:val="bottom"/>
            <w:gridSpan w:val="2"/>
            <w:shd w:val="clear" w:color="auto" w:fill="CCEEFF"/>
          </w:tcPr>
          <w:p>
            <w:pPr>
              <w:jc w:val="center"/>
              <w:ind w:right="500"/>
              <w:spacing w:after="0" w:line="142" w:lineRule="exact"/>
              <w:rPr>
                <w:sz w:val="20"/>
                <w:szCs w:val="20"/>
                <w:color w:val="auto"/>
              </w:rPr>
            </w:pPr>
            <w:r>
              <w:rPr>
                <w:rFonts w:ascii="Times New Roman" w:cs="Times New Roman" w:eastAsia="Times New Roman" w:hAnsi="Times New Roman"/>
                <w:sz w:val="14"/>
                <w:szCs w:val="14"/>
                <w:color w:val="auto"/>
              </w:rPr>
              <w:t>Placebo controlled,</w:t>
            </w:r>
          </w:p>
        </w:tc>
        <w:tc>
          <w:tcPr>
            <w:tcW w:w="2020" w:type="dxa"/>
            <w:vAlign w:val="bottom"/>
            <w:gridSpan w:val="2"/>
            <w:shd w:val="clear" w:color="auto" w:fill="CCEEFF"/>
          </w:tcPr>
          <w:p>
            <w:pPr>
              <w:jc w:val="center"/>
              <w:ind w:right="520"/>
              <w:spacing w:after="0" w:line="142" w:lineRule="exact"/>
              <w:rPr>
                <w:sz w:val="20"/>
                <w:szCs w:val="20"/>
                <w:color w:val="auto"/>
              </w:rPr>
            </w:pPr>
            <w:r>
              <w:rPr>
                <w:rFonts w:ascii="Times New Roman" w:cs="Times New Roman" w:eastAsia="Times New Roman" w:hAnsi="Times New Roman"/>
                <w:sz w:val="14"/>
                <w:szCs w:val="14"/>
                <w:color w:val="auto"/>
              </w:rPr>
              <w:t>Placebo controlled,</w:t>
            </w:r>
          </w:p>
        </w:tc>
        <w:tc>
          <w:tcPr>
            <w:tcW w:w="1960" w:type="dxa"/>
            <w:vAlign w:val="bottom"/>
            <w:gridSpan w:val="2"/>
            <w:shd w:val="clear" w:color="auto" w:fill="CCEEFF"/>
          </w:tcPr>
          <w:p>
            <w:pPr>
              <w:jc w:val="center"/>
              <w:ind w:right="520"/>
              <w:spacing w:after="0" w:line="142" w:lineRule="exact"/>
              <w:rPr>
                <w:sz w:val="20"/>
                <w:szCs w:val="20"/>
                <w:color w:val="auto"/>
              </w:rPr>
            </w:pPr>
            <w:r>
              <w:rPr>
                <w:rFonts w:ascii="Times New Roman" w:cs="Times New Roman" w:eastAsia="Times New Roman" w:hAnsi="Times New Roman"/>
                <w:sz w:val="14"/>
                <w:szCs w:val="14"/>
                <w:color w:val="auto"/>
              </w:rPr>
              <w:t>Low dose vs high dose</w:t>
            </w:r>
          </w:p>
        </w:tc>
        <w:tc>
          <w:tcPr>
            <w:tcW w:w="15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Placebo controlled,</w:t>
            </w:r>
          </w:p>
        </w:tc>
        <w:tc>
          <w:tcPr>
            <w:tcW w:w="0" w:type="dxa"/>
            <w:vAlign w:val="bottom"/>
          </w:tcPr>
          <w:p>
            <w:pPr>
              <w:spacing w:after="0"/>
              <w:rPr>
                <w:sz w:val="1"/>
                <w:szCs w:val="1"/>
                <w:color w:val="auto"/>
              </w:rPr>
            </w:pPr>
          </w:p>
        </w:tc>
      </w:tr>
      <w:tr>
        <w:trPr>
          <w:trHeight w:val="203"/>
        </w:trPr>
        <w:tc>
          <w:tcPr>
            <w:tcW w:w="1780" w:type="dxa"/>
            <w:vAlign w:val="bottom"/>
            <w:gridSpan w:val="2"/>
            <w:vMerge w:val="continue"/>
            <w:shd w:val="clear" w:color="auto" w:fill="CCEEFF"/>
          </w:tcPr>
          <w:p>
            <w:pPr>
              <w:spacing w:after="0"/>
              <w:rPr>
                <w:sz w:val="17"/>
                <w:szCs w:val="17"/>
                <w:color w:val="auto"/>
              </w:rPr>
            </w:pPr>
          </w:p>
        </w:tc>
        <w:tc>
          <w:tcPr>
            <w:tcW w:w="20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4"/>
                <w:szCs w:val="14"/>
                <w:color w:val="auto"/>
              </w:rPr>
              <w:t>monotherapy</w:t>
            </w:r>
          </w:p>
        </w:tc>
        <w:tc>
          <w:tcPr>
            <w:tcW w:w="19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rPr>
              <w:t>monotherapy</w:t>
            </w:r>
          </w:p>
        </w:tc>
        <w:tc>
          <w:tcPr>
            <w:tcW w:w="202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4"/>
                <w:szCs w:val="14"/>
                <w:color w:val="auto"/>
              </w:rPr>
              <w:t>monotherapy</w:t>
            </w:r>
          </w:p>
        </w:tc>
        <w:tc>
          <w:tcPr>
            <w:tcW w:w="19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rPr>
              <w:t>atorvastatin</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monotherapy</w:t>
            </w: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Patient population</w:t>
            </w:r>
          </w:p>
        </w:tc>
        <w:tc>
          <w:tcPr>
            <w:tcW w:w="20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Secondary Prevention</w:t>
            </w: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Primary Prevention</w:t>
            </w:r>
          </w:p>
        </w:tc>
        <w:tc>
          <w:tcPr>
            <w:tcW w:w="2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Primary Prevention</w:t>
            </w:r>
          </w:p>
        </w:tc>
        <w:tc>
          <w:tcPr>
            <w:tcW w:w="19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Secondary Prevention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Primary Prevention</w:t>
            </w:r>
          </w:p>
        </w:tc>
        <w:tc>
          <w:tcPr>
            <w:tcW w:w="0" w:type="dxa"/>
            <w:vAlign w:val="bottom"/>
          </w:tcPr>
          <w:p>
            <w:pPr>
              <w:spacing w:after="0"/>
              <w:rPr>
                <w:sz w:val="1"/>
                <w:szCs w:val="1"/>
                <w:color w:val="auto"/>
              </w:rPr>
            </w:pPr>
          </w:p>
        </w:tc>
      </w:tr>
      <w:tr>
        <w:trPr>
          <w:trHeight w:val="142"/>
        </w:trPr>
        <w:tc>
          <w:tcPr>
            <w:tcW w:w="17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Baseline LDL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188</w:t>
            </w:r>
          </w:p>
        </w:tc>
        <w:tc>
          <w:tcPr>
            <w:tcW w:w="5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52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w:t>
            </w:r>
          </w:p>
        </w:tc>
        <w:tc>
          <w:tcPr>
            <w:tcW w:w="5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52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(mg/dL)</w:t>
            </w:r>
          </w:p>
        </w:tc>
        <w:tc>
          <w:tcPr>
            <w:tcW w:w="15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LDL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 reduction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5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CV RRR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5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5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2014, the results of the IMPROVE-IT (IMProved Reduction of Outcomes: Vytorin Efficacy International Trial) study were presented at the Scientific Sessions of the AHA. 18,144 patients with acute coronary syndrome were enrolled in IMPROVE-IT and were randomized to receive either 40 mg of simvastatin or 10 mg of ezetimibe/40 mg of simvastatin, and were followed until &gt; 5,250 events (cardiovascular death, heart attack, documented unstable angina requiring hospitalization, coronary revascularization or stroke) occurred. The addition of ezetimibe to simvastatin resulted in a 6.4% relative risk reduction (p=0.016) in the aggregate of the events described above. This was the first study to demonstrate incremental clinical benefit with a non-statin when added to a statin.</w:t>
      </w:r>
    </w:p>
    <w:p>
      <w:pPr>
        <w:spacing w:after="0" w:line="18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In 2017 and 2018, the results of two CVOTs that utilized monoclonal antibodies that targeted PCSK9 (a key regulator of LDL receptor expression) were reported. The FOURIER study enrolled 27,564 patients with prior ASCVD and LDL-C levels &gt;70 mg/dl receiving background statin therapy. Patients were then blindly randomized to receive evolocumab or placebo and followed until at least 1630 key secondary endpoints (cardiovascular death, myocardial infarction or stroke) occurred. In a patient population with a median baseline LDL-C level of 92 mg/dl, evolocumab reduced LDL-C by 59% as</w:t>
      </w:r>
    </w:p>
    <w:p>
      <w:pPr>
        <w:spacing w:after="0" w:line="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compared to placebo resulting in a 56 mg/dl absolute difference. This reduction in LDL-C translated to a 15% reduction in the primary endpoint (cardiovascular death, myocardial infarction, stroke, hospitalization for unstable angina, or coronary revascularization). Similarly, the ODYSSEY Outcomes study enrolled 18,924 patients who had an acute coronary syndrome 1 to 12 months prior to study entry and LDL-C levels &gt;70 mg/dl on high-intensity statin treatment. Patients were blindly randomized to receive alirocumab or placebo and followed until at least 1,613 patients experienced a primary endpoint of death from coronary heart disease, nonfatal myocardial infarction, fatal or nonfatal ischemic stroke or unstable angina requiring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hospitalization. From a mean baseline of 92 mg/dl, LDL-C levels were reduced by 62.7% as compared to placebo, to a mean of 38 mg/dl. This treatment</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resulted in a 15% relative risk reduction in the primary MACE endpoint. Together, these trials demonstrated the cardiovascular risk reduction benefits of a second non-statin mechanism for lowering LDL-C levels.</w:t>
      </w:r>
    </w:p>
    <w:p>
      <w:pPr>
        <w:spacing w:after="0" w:line="1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direct relationship between lower LDL-C levels and reduced risk for major cardiovascular events has been consistently demonstrated in at least 27 statin cardiovascular outcomes studies involving more than 175,000 patients. A patient-level metanalysis of these studies have demonstrated a strong,</w:t>
      </w:r>
    </w:p>
    <w:p>
      <w:pPr>
        <w:spacing w:after="0" w:line="237" w:lineRule="auto"/>
        <w:rPr>
          <w:sz w:val="20"/>
          <w:szCs w:val="20"/>
          <w:color w:val="auto"/>
        </w:rPr>
      </w:pPr>
      <w:r>
        <w:rPr>
          <w:rFonts w:ascii="Times New Roman" w:cs="Times New Roman" w:eastAsia="Times New Roman" w:hAnsi="Times New Roman"/>
          <w:sz w:val="18"/>
          <w:szCs w:val="18"/>
          <w:color w:val="auto"/>
        </w:rPr>
        <w:t>consistent relationship between absolute risk reduction in LDL-C and the reduction in risk for major cardiovascular events. Overall, it was observed that for every 1 mmol/L (38.7 mg/dl) reduction in LDL-C, there was a 22% reduction in the risk for major cardiovascular events. As a result, physicians are highly focused on lowering LDL-C levels in their patients, and we believe there is a trend towards even more aggressive LDL-C lowering. For example, in the United States, increased attention has been placed on aggressive LDL-C management by organizations such as the AHA and the American College of Cardiology, or ACC. Additionally, both the Canadian Cardiovascular Society and the Joint British Societies have supported even lower LDL-C treatment targets for high-risk patients. This has led to the combination of statins with non-statin medicines such as ezetimibe and PCSK9 inhibitors for certain patients to reach their LDL-C goals.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2018, the ACC and the AHA issued new guidelines for the treatment of elevated LDL-C. Overall these guidelines recognize four separate</w:t>
      </w:r>
    </w:p>
    <w:p>
      <w:pPr>
        <w:spacing w:after="0" w:line="2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 xml:space="preserve">patient populations that physicians should focus on for LDL-C treatment: 1) Secondary ASCVD, 2) Severe Hypercholesterolemia (LDL-C </w:t>
      </w:r>
      <w:r>
        <w:rPr>
          <w:rFonts w:ascii="Times New Roman" w:cs="Times New Roman" w:eastAsia="Times New Roman" w:hAnsi="Times New Roman"/>
          <w:sz w:val="21"/>
          <w:szCs w:val="21"/>
          <w:u w:val="single" w:color="auto"/>
          <w:color w:val="auto"/>
        </w:rPr>
        <w:t>&gt;</w:t>
      </w:r>
      <w:r>
        <w:rPr>
          <w:rFonts w:ascii="Times New Roman" w:cs="Times New Roman" w:eastAsia="Times New Roman" w:hAnsi="Times New Roman"/>
          <w:sz w:val="18"/>
          <w:szCs w:val="18"/>
          <w:color w:val="auto"/>
        </w:rPr>
        <w:t>190 mg/dl), 3) Diabetes Mellitus in Adults and 4) Primary Prevention. For the first time since 2013, the guidelines returned to including specific, numerical LDL-C treatment thresholds for patients. The guidelines directed physicians to continue to focus on LDL-C lowering to reduce risk in primary and secondary prevention patients, and maintain adequate LDL-cholesterol levels of 70 mg/dL for patients at very high-risk for future cardiovascular events and 100 mg/dL for patients without a history of ASCVD. The guidelines call for using statins as the initial treatment to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 LDL-C thresholds, and then consider adding non-statin medicines for those patients still above their LDL-C treatment threshold level.</w:t>
      </w:r>
    </w:p>
    <w:p>
      <w:pPr>
        <w:spacing w:after="0" w:line="2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For the first time in an LDL-C guideline, these 2018 recommendations encouraged physicians to consider the cost-effectiveness of drug treatment options, specifically referencing the relatively low cost-effectiveness of PCSK9 inhibitors. In addition, the guidelines also recommended that primary prevention patients with diabetes start with a moderate-intensity statin, increasing to a high-intensity statin if needed. Non-statin drugs could be added to achieve LDL-C lowering of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 Furthermore, in higher risk primary prevention patients who need aggressive LDL-C lowering, and in whom a high intensity statin is not acceptable or tolerated, adding non-statin medicines is reasonable. In patients with statin-associated side effects, use of non-statins (with initial preference to oral drugs) is recommended.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AHA/ACC Guidelines on the Management of Blood Cholesterol</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gridSpan w:val="4"/>
          </w:tcPr>
          <w:p>
            <w:pPr>
              <w:ind w:left="1560"/>
              <w:spacing w:after="0"/>
              <w:rPr>
                <w:sz w:val="20"/>
                <w:szCs w:val="20"/>
                <w:color w:val="auto"/>
              </w:rPr>
            </w:pPr>
            <w:r>
              <w:rPr>
                <w:rFonts w:ascii="Times New Roman" w:cs="Times New Roman" w:eastAsia="Times New Roman" w:hAnsi="Times New Roman"/>
                <w:sz w:val="14"/>
                <w:szCs w:val="14"/>
                <w:b w:val="1"/>
                <w:bCs w:val="1"/>
                <w:color w:val="auto"/>
              </w:rPr>
              <w:t>Patient Cardiovascular Disease Risk</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LDL-C Threshold for Treatment</w:t>
            </w: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23"/>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Patients with ASCVD</w:t>
            </w:r>
          </w:p>
        </w:tc>
        <w:tc>
          <w:tcPr>
            <w:tcW w:w="42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 mg/dL</w:t>
            </w:r>
          </w:p>
        </w:tc>
      </w:tr>
      <w:tr>
        <w:trPr>
          <w:trHeight w:val="189"/>
        </w:trPr>
        <w:tc>
          <w:tcPr>
            <w:tcW w:w="57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Patients with LDL-C &gt;190 mg/dL at baseline and/or HeFH</w:t>
            </w:r>
          </w:p>
        </w:tc>
        <w:tc>
          <w:tcPr>
            <w:tcW w:w="5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≥100 mg/dL</w:t>
            </w:r>
          </w:p>
        </w:tc>
      </w:tr>
      <w:tr>
        <w:trPr>
          <w:trHeight w:val="21"/>
        </w:trPr>
        <w:tc>
          <w:tcPr>
            <w:tcW w:w="1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29"/>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Patients with diabetes</w:t>
            </w:r>
          </w:p>
        </w:tc>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 mg/dL</w:t>
            </w:r>
          </w:p>
        </w:tc>
      </w:tr>
      <w:tr>
        <w:trPr>
          <w:trHeight w:val="234"/>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Primary prevention patients</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Dependent upon age and risk level</w:t>
            </w:r>
          </w:p>
        </w:tc>
      </w:tr>
    </w:tbl>
    <w:p>
      <w:pPr>
        <w:spacing w:after="0" w:line="6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Patients with HeFH or established ASCVD who require additional lowering of LDL-C —Market Opportunity for Bempedoic Acid and the Bempedoic Acid / Ezetimibe Combination Tablet</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developed bempedoic acid and the bempedoic acid / ezetimibe combination tablet as an adjunct to diet and maximally tolerated statin therapy for patients with HeFH or established ASCVD who require additional lowering of LDL-C. The severity of elevated LDL-C in these patients, their level of CVD risk and their therapeutic options all widely vary.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with the assistance of a third-party global pharma sales and marketing consultancy group, conducted primary market research and developed a U.S. demand forecast model for bempedoic acid. Approximately 350 U.S. healthcare providers, consisting of cardiologists, endocrinologists and primary care physicians, were interviewed and the prevalence of hypercholesterolemia and diagnosis rates were estimated based on a review of the medical literature. It is estimated that approximately 8.7 million patients in the United States currently taking statins require additional LDL-C lowering.</w:t>
      </w:r>
    </w:p>
    <w:p>
      <w:pPr>
        <w:spacing w:after="0" w:line="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Muscle pain and weakness are the most common side effects experienced by statin users and the most common causes for discontinuing therapy. Moreover, a significant proportion of patients remain on statin therapy despite experiencing muscle-related side effects, and require additional LDL-C lowering therapies to help them achieve their LDL-C treatment goals. Accordingly, we believe that in the presence of an oral, once-daily, non-statin LDL-C lowering therapy, the statin intolerant market could grow substantially. According to our research, approximately 9.6 million patients in the United States are not on statins, need additional LDL-C lowering, and it is estimated that most are only able to tolerate less than the lowest approved daily starting dose of their statin and are therefore considered to be statin intolerant.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Patients with Homozygous Familial Hypercholesterolemia (HoFH)</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small subpopulation of patients with extremely elevated levels of LDL-C, estimated to be approximately 1,100 patients in the U.S. and 26,000 patients in the world, suffer from homozygous familial hypercholesterolemia, or HoFH. HoFH is a serious and rare genetic disease and patients with HoFH lack or have dysfunctional LDL-receptors and cannot remove LDL-particles and LDL-C from the blood. As a result, untreated HoFH patients typically have LDL-C levels in the range of 450 mg/dL to 1,000 mg/dL. Microsomal triglyceride transfer protein, or MTP inhibitors, a PCSK9 inhibitor and an apolipoprotein B, or ApoB, antisense oligonucleotide are approved therapies to lower elevated LDL-C levels in patients with a clinical or laboratory diagnosis of HoFH. Given the serious safety concerns with the MTP inhibitor and ApoB antisense oligonucleotide, specifically hepatotoxicity, the FDA has restricted their usage to this narrow subpopulation.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Statin Therapy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Statins are the standard of care for patients with hypercholesterolemia today and are highly effective at lowering LDL-C. This class of drugs includes atorvastatin calcium, marketed as Lipitor®, the most prescribed LDL-C lowering drug in the world.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Statins are selective, competitive inhibitors of HMG-CoA reductase, a rate-limiting enzyme in the cholesterol biosynthesis pathway in liver cells. Statin inhibition of cholesterol synthesis increases the number of LDL receptors on the surface of liver cells. This increase in LDL receptors increases uptake of LDL particles into liver cells from the blood, thus lowering LDL-C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levels. Statins are also thought to have a potential effect on cholesterol synthesis in skeletal muscle. This effect could be linked to the myalgia associated with statin use as seen in certain patients with statin intolerance.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benefits of statin use in lowering LDL-C levels and improving cardiovascular outcomes are well documented. Despite the effectiveness of statins and their broad market acceptance, there are over 18 million diagnosed U.S. patients on maximally tolerated statin therapy (approximately 9 million patients who are currently taking a statin and over 9 million patients who can’t or won’t take statins and for whom their maximally tolerated statin is no statin at all) who are unable to reach their LDL-C goal on their maximally tolerated statin therapy alone. In rare but extreme cases, statins can lead to muscle breakdown, kidney failure and death. For these reasons, we believe there is a need for new oral, once-daily, non-statin medicines to treat patients with elevated LDL-C.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Approved Therapies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PCSK9 Inhibitors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PCSK9 inhibitors inhibit PCSK9, an enzyme involved in the degradation of LDL receptors. PCSK9 inhibitors are injectable, monoclonal antibodies to lower LDL-C. In 2015, the FDA approved two PCSK9 inhibitors: alirocumab, which was developed by Sanofi and Regeneron Pharmaceuticals, and evolocumab, which was developed by Amgen, Inc. These therapies were originally approved as an adjunct to diet and maximally tolerated statin therapy for patients with HeFH and/or ASCVD that require additional lowering of LDL-C. Additionally, evolocumab was approved as an adjunct to diet and other LDL-C lowering therapies for patients with HoFH. In 2016, Pfizer discontinued development of its PCSK9 inhibitor, bococizumab, due to unanticipated attenuation of LDL-C lowering over time in its Phase 3 studies.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February 2017, Amgen announced top-line results for the FOURIER (</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color w:val="auto"/>
        </w:rPr>
        <w:t xml:space="preserve">urther Cardiovascular </w:t>
      </w:r>
      <w:r>
        <w:rPr>
          <w:rFonts w:ascii="Times New Roman" w:cs="Times New Roman" w:eastAsia="Times New Roman" w:hAnsi="Times New Roman"/>
          <w:sz w:val="18"/>
          <w:szCs w:val="18"/>
          <w:b w:val="1"/>
          <w:bCs w:val="1"/>
          <w:u w:val="single" w:color="auto"/>
          <w:color w:val="auto"/>
        </w:rPr>
        <w:t>OU</w:t>
      </w:r>
      <w:r>
        <w:rPr>
          <w:rFonts w:ascii="Times New Roman" w:cs="Times New Roman" w:eastAsia="Times New Roman" w:hAnsi="Times New Roman"/>
          <w:sz w:val="18"/>
          <w:szCs w:val="18"/>
          <w:color w:val="auto"/>
        </w:rPr>
        <w:t xml:space="preserve">tcomes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 xml:space="preserve">esearch with PCSK9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 xml:space="preserve">nhibition in Subjects with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levated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isk) CVOT where evolocumab demonstrated a statistically significant 15 percent reduction in the risk of cardiovascular events. Full results of FOURIER were presented at the Scientific Sessions of the American College of Cardiology in March 2017 and were published in the New England Journal of Medicine in March 2017. In December 2017, based upon the results of the FOURIER study, the indications for the use of evolocumab were updated to include reduction in risk of myocardial infarction, stroke and coronary revascularization in adults with established cardiovascular disease, and for use alone or in combination with other lipid-lowering therapies to reduce LDL-C in adults with primary hyperlipidemia.</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March 2018, Regeneron Pharmaceuticals and Sanofi announced top-line results for the ODYSSEY Outcomes CVOT where alirocumab demonstrated a statistically significant 15 percent reduction in the risk of cardiovascular events. Full results of ODYSSEY Outcomes were presented at the Scientific Sessions of the ACC in March 2018 and were published in the New England Journal of Medicine in November 2018. In April 2019, the FDA approved alirocumab to reduce the risk of heart attack, stroke, and unstable angina requiring hospitalization in adults with established CVD. On December 10, 2019, Regeneron Pharmaceuticals and Sanofi announced their intent to simplify their antibody collaboration for alirocumab by restructuring into a royalty-based agreement. Under the restructuring, which was effective April 2020, Regeneron has sole U.S. rights to alirocumab and Sanofi has sole ex-U.S. rights to alirocumab.</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described in currently approved U.S. prescribing information, PCSK9 inhibitors have demonstrated reductions of LDL-C when added on to maximally tolerated statin therapy in patients with HeFH and/or ASCVD of up to 64%. When PCSK9 inhibitors were used in patients with hypercholesterolemia considered to be statin intolerant, LDL-C levels were reduced by 45-56%. PCSK9 inhibitors’ U.S. prescribing information also now includes an indication for the reduction in risk of myocardial infarction, stroke and coronary revascularization in patients with established cardiovascular disease. In addition, evolocumab and alirocumab are indicated for use alone or in combination with other lipid-lowering agents for patients with primary hyperlipidemia, including familial and nonfamilial hypercholesterolemia. Notwithstanding the LDL-C lowering efficacy of PCSK9 inhibitors, we believe their adoption by patients, physicians, and payors could be adversely impacted by their higher cost, notwithstanding recent price reductions, substantial prior authorization processes, and their injectable route of administration.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Injectable PCSK9 Inhibitors</w:t>
      </w:r>
    </w:p>
    <w:p>
      <w:pPr>
        <w:spacing w:after="0" w:line="21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Novartis AG developed inclisiran and the new drug application, or NDA, for inclisiran was submitted to the FDA in December 2019. Inclisiran (which is marketed in the U.S. as Leqvio®) received FDA approval on December 22, 2021. Unlike the PCSK9 antibodies from Regeneron Pharmaceuticals and Sanofi and Amgen, inclisiran is a long-acting RNA interference therapeutic agent that inhibits the synthesis of PCSK9. Findings from clinical studies suggest that inclisiran may be dosed every 6 months, with a 3 month timeframe only between the first and second dose. Like the PCSK9 antibodies, inclisiran is an</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injectable therapy that lowers LDL-C between 45% to 58% in Phase 3 clinical testing. In November 2019, Novartis AG acquired The Medicines Company. The Medicines Company initiated the ORION-4 trial in October 2018 which is designed to evaluate cardiovascular outcomes in 15,000 people being treated with inclisiran or placebo.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Triglyceride Lowering Therapy</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Icosapent ethyl is ethyl esters of the omega-3 fatty acid, eicosapentaenoic acid, or EPA, obtained from fish oil. Its potential mechanisms of action include increased β-oxidation, inhibition of acyl-CoA:1,2-diacylglycerol acyltransferase, or DGAT, decreased lipogenesis in the liver, and increased plasma lipoprotein lipase activity. Icosapent ethyl is an oral drug that is administered daily in 4 grams per day taken as four 0.5-gram capsules or two 1-gram capsules twice daily with food. In 2012, the FDA approved icosapent ethyl, which was developed by Amarin Corporation, as an adjunct to diet to reduce triglyceride, or TG, levels in adult patients with severe (≥ 500 mg/dL) hypertriglyceridemia. In clinical trials, icosapent ethyl lowered triglycerides by approximately 27 percent.</w:t>
      </w:r>
    </w:p>
    <w:p>
      <w:pPr>
        <w:spacing w:after="0" w:line="17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September 2018, Amarin announced top-line results for the REDUCE-IT (Reduction of Cardiovascular Events Outcomes) CVOT where icosapent ethyl was added to patients on stable statin therapy who had their LDL-C under control (median LDL-C levels of 75 mg/dL). Icosapent ethyl demonstrated a statistically significant 25 percent reduction in risk of cardiovascular events. Full results of REDUCE-IT were presented at the AHA in November 2018, and were published in The New England Journal of Medicine in January 2019. In December 2019, Amarin received FDA approval for icosapent ethyl (which is marketed in the U.S. as Vascepa®) as an adjunct to maximally tolerated statin therapy to reduce the risk of myocardial infarction, stroke, coronary revascularization, and unstable angina requiring hospitalization in adult patients with TG levels (≥150 mg/dL) and established cardiovascular disease or diabetes mellitus and two or more additional risk factors for cardiovascular disease.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Clinical Studies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Cardiovascular Outcomes Trial—CLEAR Outcomes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 Outcomes was a Phase 3, event driven, randomized, multicenter, double-blind, placebo-controlled clinical study designed to evaluate whether treatment with bempedoic acid reduces the risk of cardiovascular events in patients with statin intolerance who have cardiovascular disease or are at high risk for cardiovascular disease. The primary endpoint of the study was the effect of bempedoic acid on major adverse cardiovascular events (cardiovascular death, non-fatal myocardial infarction, non-fatal stroke, or coronary revascularization; also referred to as "four-component MACE"). CLEAR Outcomes was designed to provide 90 percent power to detect an approximately 15 percent relative risk reduction in the primary endpoint in the bempedoic acid treatment group as compared to the placebo group.</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study over-enrolled with over 14,000 patients with hypercholesterolemia and high cardiovascular disease risk at over 1,200 sites in 32 countries. Eligible patients at high risk (LDL-C &gt;100 mg/dL in primary prevention) for cardiovascular disease or with cardiovascular disease (LDL-C between 100 mg/dL to 190 mg/dL in secondary prevention) and who are only able to tolerate less than the lowest approved daily starting dose of a statin and considered statin adverse, were randomized to receive bempedoic acid 180 mg once-daily or placebo. The expected average baseline LDL-C level in all patients is between 135 mg/dL and 140 mg/dL.</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CLEAR Outcomes concluded once the predetermined number of MACE endpoints occurred. We initiated CLEAR Outcomes in December 2016 and completed enrollment in August 2019. The expected average treatment duration will be 3.75 years with a minimum treatment duration of approximately 2.25 years.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7, 2022, we announced that the study had met its primary endpoint. We anticipate reporting full results from the study at ACC.23/WCC on March 4, 2023. We intend to use results from this CVOT to support submissions for a CV risk reduction indication in the U.S., Europe and other territories and plan to submit applications for such regulatory approvals in the first half of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derive revenue through two primary sources: product sales and collaboration revenue. Product sales is related to our sales of NEXLETOL and NEXLIZET in the U.S. NEXLETOL was commercially available in the U.S. on March 30, 2020 and NEXLIZET was commercially available in the U.S. on June 4, 2020. Collaboration revenue consists of the collaboration payments made to us under our collaboration arrangements outside of the U.S. for the development and commercialization of our product candidates by our partners. Collaboration revenue also includes royalty revenue and sales of bulk tablets of our products to our collaboration partners.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recognized $55.9 million in net product sales of NEXLETOL and NEXLIZET and $19.6 million in collaboration revenue, primarily related to sales of bulk tablets under supply agreements and royalty revenue received from collaboration partners. During the year ended December 31, 2021, we recognized $40.0 million in net product sales of NEXLETOL and NEXLIZET and $38.4 million in collaboration revenue, related to the initial recognition of the upfront payment from our license and collaboration agreement with DS, sales of bulk tablets under supply agreements, and royalty revenue received from collaboration partners.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we fail to complete the development of bempedoic acid or the bempedoic acid / ezetimibe combination tablet (including obtaining additional potential indications), or any other product candidates we may develop, and do not secure additional approvals from regulatory authorities in the U.S., Europe and other territories, our ability to generate future revenue and our results of operations and financial position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were $118.9 million, which was primarily related to clinical development costs relating to the CLEAR Outcomes CVOT and compensation related costs, including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established our commercialization and distribution capabilities with the commercial launch of NEXLETOL and NEXLIZET in the U.S. We announced collaboration agreements for the commercialization of bempedoic acid and the bempedoic acid / ezetimibe combination tablet with DSE in 2019, with Otsuka in 2020 and with DS in 2021.</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continue to engage in partnering discussions with potential third-party collaborators. We intend to seek approval and launch commercial sales of the bempedoic acid and the bempedoic acid / ezetimibe combination tablet in unpartnered territories outside of the United States by establishing additional collaborations with one or more pharmaceutical company collaborators, depending on, among other things, the applicable indications, the related development costs and our available resources.</w:t>
      </w:r>
    </w:p>
    <w:p>
      <w:pPr>
        <w:spacing w:after="0" w:line="16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increase at the end of 2023 after we report full results from the CLEAR Outcomes trial in connection with potential additional global regulatory submissions for new product indications, expanded commercialization and market access initiatives for NEXLETOL and NEXLIZET and increases in our associated headcount.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Bempedoic acid and the bempedoic acid / ezetimibe combination tablet are small molecule drugs that are synthesized from readily available raw materials using conventional chemical processes. We currently have no manufacturing facilities. We rely on contract manufacturers to produce both drug substances and drug products required for our commercial supply and clinical studies. All lots of drug substance and drug product used in commercial supply and clinical studies are manufactured under current good manufacturing practices. We plan to continue to rely upon contract manufacturers and, potentially, collaboration partners to manufacture commercial quantities of the bempedoic acid and the bempedoic acid / ezetimibe combination tablet in the United States and in Europe and, if approved, in territories outside of the United States and Europe.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Collaboration Agreements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April 2008, we entered into an asset transfer agreement with Pfizer pursuant to which we acquired all intellectual property owned by Pfizer relating exclusively to the bempedoic acid program. We also entered into a license agreement providing a worldwide, exclusive, fully paid-up license of certain residual background intellectual property not transferred pursuant to the asset transfer agreement, and we granted Pfizer a worldwide, exclusive, fully paid-up license to certain patent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rights owned or controlled by us relating to development programs other than bempedoic acid. The license to us covers the development, manufacturing and commercialization of bempedoic acid. There are no restrictions or limitations and we may grant sublicenses under the license agreements. Pfizer is not entitled to any royalties, milestones or any similar development or commercialization payments under the terms of the agreements, and the licenses granted are irrevocable and may not be terminated for any cause, including intentional breaches or breaches caused by gross negligence.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2, 2019, we entered into a license and collaboration agreement, or LCA, with DSE. Pursuant to the agreement, we have granted DSE exclusive commercialization rights to bempedoic acid and the bempedoic acid / ezetimibe combination tablet in the European Economic Area and Switzerland, or the DSE Territory. DSE will be responsible for commercialization in the DSE Territory. We remain responsible for clinical development, regulatory and manufacturing activities for the licensed products globally, including in the DSE Territory. On June 18, 2020, we entered into an amendment to the LCA Amendment with DSE to include Turkey. DSE’s designated affiliate in Turkey will be solely responsible, at its sole cost and expense, for all regulatory matters relating to such products in Turkey, including obtaining Regulatory Approval for such products in Turkey.</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17, 2020, we entered into a license and collaboration agreement, or the Otsuka Agreement, with Otsuka Pharmaceutical Co., Ltd., or Otsuka. Pursuant to the Otsuka Agreement, we granted Otsuka exclusive development and commercialization rights to bempedoic acid and the bempedoic acid / ezetimibe combination tablet in Japan. Otsuka will be responsible for all development, regulatory, and commercialization activities in Japan. In addition, Otsuka will fund all clinical development costs associated with the program in Japan.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3, 2020, we entered into a definitive agreement with Serometrix to in-license its oral, small molecule PCSK9 inhibitor program. Serometrix developed the oral PCSK9 inhibitor program with its proprietary technology to discover drugs for challenging protein targets.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26, 2021, we entered into a license and collaboration agreement with DS. Pursuant to the agreement, we granted DS exclusive development and commercialization rights to bempedoic acid and the bempedoic acid / ezetimibe combination tablet in South Korea, Taiwan, Hong Kong, Thailand, Vietnam, Brazil, Macao, Cambodia and Myanmar, or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additional details on the DSE, Otsuka, Serometrix and DS agreements, see Note 3 to our audited financial statements appearing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our business. We also rely on trade secrets to protect aspects of our business that are not amenable to, or that we do not consider appropriate for, patent protection.</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bempedoic acid, the bempedoic acid / ezetimibe combination tablet and our other development programs.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2022, our patent estate, including patents we own, on a worldwide basis, included approximately 26 issued United States patents and 16 pending United States patent applications and over 25 issued patents and over 130 pending patent applications in other foreign jurisdictions. Of our worldwide patent estate, only a subset of our patents and pending patent applications relates to our bempedoic acid program.</w:t>
      </w:r>
    </w:p>
    <w:p>
      <w:pPr>
        <w:spacing w:after="0" w:line="16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Bempedoic acid is claimed in U.S. Patent No. 7,335,799 that is scheduled to expire in December 2025, which includes 711 days of patent term adjustment, and may be eligible for a patent term extension period of up to five years. We have requested a five year patent term extension of U.S. Patent No. 7,335,799, and we believe that this patent could be the subject of an additional six month pediatric exclusivity period. In addition, U.S. Patent Nos. 9,000,041, 8,497,301, 9,624,152, 10,118,881 and 10,941,095, which are scheduled to expire in December 2023, claim methods of using bempedoic acid. There are currently seven issued patents in countries outside the United States, including, Brazil, Canada, Europe, Japan and Mexico, that relate to</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bempedoic acid and its use. Furthermore, of the seven granted patents, we have two granted European patents that have been validated in numerous European countries including France, Germany, Great Britain, Ireland, Italy, the Netherlands, Spain, Sweden and Switzerland. We are seeking five year patent term extensions via supplementary protection certificates for 24 national patents validated from one of the granted European patents, which, if approved, could extend our patent protection in those countries until 2028. Additionally, we have one patent family that includes U.S. Patent No. 11,407,705, directed to the method of manufacturing high purity bempedoic acid, one pending U.S. patent application directed to the same, two pending U.S. patent applications directed to compositions of matter of high purity bempedoic acid, and 25 pending patent applications outside of the United States. U.S. Patent No. 11,407,705 and the other patent family members, if issued, are scheduled to expire in June 2040.</w:t>
      </w:r>
    </w:p>
    <w:p>
      <w:pPr>
        <w:spacing w:after="0" w:line="1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addition, we have three patent families in which we are pursuing patent protection for our bempedoic acid and bempedoic acid / ezetimibe combination tablet in combination with one or more statins. Methods of treating familial hypercholesterolemia with the bempedoic acid / ezetimibe combination tablet are claimed in U.S. Patent No. 10,912,751 that is scheduled to expire in March 2036. We also have one pending U.S. patent application and 7 issued patents and 17 pending applications outside the U.S. with claims directed to methods of treatment using the bempedoic acid / ezetimibe combination tablet. Additionally, we have one pending U.S. patent application and 25 pending applications outside of the U.S. directed to the manufacturing of our bempedoic acid / ezetimibe combination tablet. We also have one issued U.S. patent, one pending U.S. patent application, and six issued patents and 21 pending applications outside the U.S., with claims directed to fixed dose combinations of bempedoic acid and one or more statins and/or methods of using said fixed dose combinations.</w:t>
      </w:r>
    </w:p>
    <w:p>
      <w:pPr>
        <w:spacing w:after="0" w:line="22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to the patents we own, we also hold an exclusive, worldwide, fully paid-up license on any residual background intellectual property not transferred from Pfizer pursuant to the asset transfer agreement.</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a non-provisional application. In the United States, a patent’s term may be lengthened by patent term adjustment, which compensates a patentee for administrative delays by the U.S. Patent and Trademark Office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We have submitted a request for a patent term extension in the United States for U.S. Patent No. 7,335,799 and have been seeking supplementary protection certificates for one of the granted, counterpart European patents. However, the applicable authorities, including the FDA and the U.S.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The duration of foreign patents varies in accordance with provisions of applicable local law, but typically is also twenty years from the earliest effective filing date. Our issued U.S. patents, including patent term extensions we may be eligible for, will expire on dates ranging from 2023 to mid-2031. However, the actual protection afforded by a patent varies on a claim by claim basis for each applicable product, from country to country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U.S. The patent situation outside the U.S. is even more uncertain. Changes in either the patent laws or in interpretations of patent laws in the U.S. and other countries can diminish our ability to protect our inventions, and enforce our intellectual property rights and more generally, could affect the value of our intellectual property. Accordingly, we cannot predict the breadth of claims that may be allowed or enforced in our patents or in third-party patents.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vendors, collaborators, scientific advisors, contractors and other third parties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vendors, collaborators, scientific advisors, contractors or other third parties use intellectual property owned by others in their work for us, disputes may arise as to the rights in related or resulting know-how and inventions. For more information, please see “Risk Factors—Risks Related to our Intellectual Property.”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bempedoic acid, the bempedoic acid / ezetimibe combination tablet, or any other product candidates may have a material adverse impact on us. If third parties prepare and file patent applications in the U.S. that also claim technology to which we have rights, we may have to participate in an interference or derivation proceeding at the USPTO, to determine who is entitled to claim invention.</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U.S. and elsewhere are published only after eighteen months from the priority date. The publication of discoveries in the scientific or patent literature frequently occurs substantially later than the date on which the</w:t>
      </w:r>
    </w:p>
    <w:p>
      <w:pPr>
        <w:spacing w:after="0" w:line="3"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underlying discoveries were made. Therefore, patent applications relating to drugs similar to bempedoic acid and any future drugs, discoveries or technologies we might develop may have already been filed by others without our knowledge.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Key competitive factors affecting the commercial success of our product candidates are likely to be efficacy, safety and tolerability profile, reliability, convenience of dosing, price and reimbursement.</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market for cholesterol regulating therapies is especially large and competitive. The product candidates we are currently developing will face intense competition, either as monotherapies or as combination therapies.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drugs non-competitive or obsolete. See “Risk Factors—Risks Related to Sales, Marketing, and Competition—Our market is subject to intense competition. If we are unable to compete effectively, our opportunity to generate revenue from the sale of bempedoic acid or the bempedoic acid / ezetimibe combination tablet in the U.S., in Europe and, if approved, in other territories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such as those we are developing and have developed.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Drug Review and Approval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The process of obtaining regulatory approvals and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voluntary product recalls,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189" w:lineRule="exact"/>
        <w:rPr>
          <w:sz w:val="20"/>
          <w:szCs w:val="20"/>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sometimes referred to as nonclinical, laboratory tests, animal studies and formulation studies all performed in accordance with applicable regulations, including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 and must be updated annually;</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applicable IND and other clinical trial-related regulations, sometimes referred to as Good Clinical Practices, or GCP, to establish the safety and efficacy of the proposed drug for its proposed indication;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NDA to file the NDA for review;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active pharmaceutical ingredient, or API, and finished drug product are produced to assess compliance with current good manufacturing practices, or cGMP;</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inspections of clinical trial sites, sponsor, and/or clinical research organizations to assess compliance with GCP and assure the integrity of clinical data in support of the NDA;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NDA;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input from an advisory committee, if requested by FDA;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Once a pharmaceutical product candidate is identified for development, it enters the nonclinical, also referred to as preclinical, testing stage. Nonclinical tests include laboratory evaluations of product chemistry, toxicity, formulation and stability, as well as animal studies. A sponsor must submit the results of the nonclinical tests, together with manufacturing information, analytical data and any available clinical data or literature, to the FDA as part of the IND. The sponsor must also include a protocol detailing, among other things, the objectives of the initial clinical study, dosing procedures, subject selection and exclusion criteria, the parameters to be used in monitoring safety and the effectiveness criteria to be evaluated if the initial clinical study lends itself to an efficacy evaluation. Some nonclinical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Clinical holds also may be imposed by the FDA at any time before or during clinical studies due to safety concerns or non-compliance, and may be imposed on all drug products within a certain class of drugs. The FDA also can impose partial clinical holds, for example prohibiting the initiation of clinical studies of a certain duration or for a certain dose.</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clinical studies must be conducted under the supervision of one or more qualified investigators in accordance with GCP regulations. These regulations include the requirement that all research subjects provide informed consent. Further, an institutional review board, or IRB, must review and approve the plan for any clinical study before it commences at any institution. An IRB considers, among other things, whether the risks to individuals participating in the clinical study are minimized and are reasonable in relation to anticipated benefits. The IRB also approves the information regarding the clinical study and the consent form that must be provided to each clinical study subject or his or her legal representative and must monitor the clinical study until completed.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new clinical protocol and any amendments to the protocol must be submitted to the IND for FDA review, and to the IRBs for approval. There are also requirements governing the reporting of ongoing clinical trials and clinical trial results to public registries.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the NIH and FDA have signaled the government’s willingness to begin enforcing those requirements against non-compliant clinical trial sponsors.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studies are typically conducted in three sequential phases that may overlap or be combined:</w:t>
      </w:r>
    </w:p>
    <w:p>
      <w:pPr>
        <w:spacing w:after="0" w:line="223" w:lineRule="exact"/>
        <w:rPr>
          <w:sz w:val="20"/>
          <w:szCs w:val="20"/>
          <w:color w:val="auto"/>
        </w:rPr>
      </w:pPr>
    </w:p>
    <w:p>
      <w:pPr>
        <w:ind w:left="660" w:right="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is initially introduced into healthy human subjects and tested for safety, dosage tolerance, absorption, metabolism,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excretion. In the case of some products for severe or life- threatening diseases, especially when the product may be too inherently toxic to ethically administer to healthy volunteers, the initial human testing may be conducted in patients.</w:t>
      </w:r>
    </w:p>
    <w:p>
      <w:pPr>
        <w:spacing w:after="0" w:line="173"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Involves clinical studies in a limited patient population to identify possible adverse effects and safety risks, to preliminarily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for specific targeted diseases and to determine dosage tolerance and optimal dosage and schedule.</w:t>
      </w:r>
    </w:p>
    <w:p>
      <w:pPr>
        <w:spacing w:after="0" w:line="158" w:lineRule="exact"/>
        <w:rPr>
          <w:rFonts w:ascii="Times New Roman" w:cs="Times New Roman" w:eastAsia="Times New Roman" w:hAnsi="Times New Roman"/>
          <w:sz w:val="18"/>
          <w:szCs w:val="18"/>
          <w:color w:val="auto"/>
        </w:rPr>
      </w:pPr>
    </w:p>
    <w:p>
      <w:pPr>
        <w:ind w:left="660" w:right="5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studies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study sites. These clinical studies are intended to establish the overall risk/benefit ratio of the product and provide an adequate basis for product labeling.</w:t>
      </w:r>
    </w:p>
    <w:p>
      <w:pPr>
        <w:spacing w:after="0" w:line="1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studies must be submitted at least annually to the FDA and IND safety reports must be submitted to the FDA and the investigators for serious and unexpected adverse events, including any clinically important increase in the rate of a serious suspected adverse reaction over that listed in the protocol or investigator’s brochure, or any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candidate. Phase 1, Phase 2 and Phase 3 testing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and FDA Review Process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results of product development, nonclinical studies and clinical studies, along with descriptions of the manufacturing process, analytical tests conducted on the drug, proposed labeling and other relevant information, are submitted to the FDA as part of an NDA for a new drug, requesting approval to market the product. The submission of an NDA is subject to the payment of a substantial user fee; a waiver of such fee may be obtained under certain limited circumstances. For example, the agency will waive the application fee for the first human drug application that a small business or its affiliate submits for review. The Company obtained a Small Business Waiver from the FDA related to bempedoic acid. There is also an annual prescription drug program fee for each approved prescription drug product on the market.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as amended made into permanent law pursuant to Food and Drug Administration Safety and Innovation Act (FDASIA),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 reviews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FDA also can require, or an NDA applicant may voluntarily propose, a Risk Evaluation and Mitigation Strategy, or REMS, to ensure the benefits of a drug outweigh its risks. Elements of a REMS may include “dear doctor letters,” a medication guide, and in some cases restrictions on distribution. These elements are negotiated as part of the NDA approval, and in some cases may delay the approval date. Once adopted, REMS are subject to periodic assessment and modification. The FDA may refer the NDA to an advisory committee for review, evaluation and recommendation as to whether the application should be approved and under what conditions. An advisory committee is a panel of experts who provide advice and recommendations when requested by the FDA on matters of importance that come before the agency. The FDA is not bound by the recommendation of an advisory committee.</w:t>
      </w:r>
    </w:p>
    <w:p>
      <w:pPr>
        <w:spacing w:after="0" w:line="19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studies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promotion), and limitations on industry-sponsored scientific and educational activities. Although physicians may prescribe legally available drugs for off-label uses, the FDA takes the position that manufacturers may not market or promote such off-label uses. Modifications or enhancements to the drug or its labeling or changes of the site or process of manufacturing are often subject to the approval of the FDA and other regulators, which may or may not be received or may result in a lengthy review process.</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or the PDMA, a part of the FDCA. The Drug Supply Chain Security Act, or DSCSA, was enacted in 2013 with the aim of building an electronic system to identify and trace certain prescription drugs distributed in the U.S. The DSCSA mandates phased-in and resource-intensive obligations for pharmaceutical manufacturers, wholesale distributors, and dispensers over a 10-year period that is expected to culminate in November 2023.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18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the U.S., once a drug is approved, its manufacturing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our approved drug and drug candidates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manufacturing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such as the FDA has imposed and we have agreed to for NEXLETOL and NEXLIZET. Specifically, as part of our NEXLETOL and NEXLIZET approval, the FDA has required both a pharmacokinetics / pharmacodynamics, or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 infant through the first year of life, a lactation study to analyze milk in lactating women who have received therapeutic doses of NEXLETOL and NEXLIZET, and that we complete the CLEAR CVOT trial.</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requirements, including those resulting from new legislation, may be established, or the FDA's policies may change, which could delay or prevent regulatory approval of our drug candidates under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U.S., the Centers for Medicare &amp; Medicaid Services, or CMS, other divisions of the U.S. Department of Health and Human Services, or HHS,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our approved drug or any future products marketed by us could materially affect our business in an adverse way.</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 or (iv) additional record-keeping requirements. If any such changes were to be imposed, they could adversely affect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diligently spent,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We applied for restorations of patent term for some of our currently owned or licensed patents to add patent life beyond their current expiration dates, depending on the expected length of the clinical studies and other factors involved in the filing of the relevant NDA; however, there can be no assurance that any such extension will be granted to 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Three-year exclusivity will not delay the submission or approval of a full NDA. However, an applicant submitting a full NDA would be required to conduct or obtain a right of reference to all of the nonclinical studies and adequate and well- controlled clinical studies necessary to demonstrate safety and effectiveness.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exclusivity in the United States. Pediatric exclusivity, if granted, provides an additional six months to an existing exclusivity or statutory delay in approval resulting from a patent certification. This six-month exclusivity, which runs from the end of other exclusivity protection or patent delay, may be granted based on the voluntary completion of a pediatric clinical study in accordance with a FDA-issued “Written Request” for such a clinical study.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foreign countries permit extension of patent term for a newly approved drug and/or grant a period of data exclusivity and/or market exclusivity. For example, depending upon the timing and duration of the marketing authorization process in certain European countries, a newly approved drug may be eligible for a supplementary protection certification, or SPC, which can extend the basic patent right for the drug for a period up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Reimbursement and Healthcare Reform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NEXLETOL and NEXLIZET and any future approved drugs will depend, in part, on the extent to which such drugs will be covered by third-party payors, such as government health programs, commercial insurers, and managed healthcare organizations, as well as the level of reimbursement such third-party payors provide for our products. Patients and providers are unlikely to use NEXLETOL and NEXLIZET or any future approved drugs unless coverage is provided and reimbursement is adequate to cover a significant portion of the cost of such drugs. These third-party payors are increasingly reducing reimbursements for medical drugs and services.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NEXLETOL and NEXLIZET or any of our future drug candidates, if approved, are made on a payor-by-payor basis. Factors payors consider in determining reimbursement are based on whether the product is:</w:t>
      </w:r>
    </w:p>
    <w:p>
      <w:pPr>
        <w:spacing w:after="0" w:line="21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the coverage determination process may be a time-consuming and costly process that will require us to provide scientific and clinical support for the use of NEXLETOL and NEXLIZET or any future approved drugs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Net prices for NEXLETOL and NEXLIZET or any future approved drugs may also be reduced by mandatory discounts or rebates required by government healthcare programs or private payors and by any future relaxation of laws that presently restrict imports of drugs from countries where they may be sold at lower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prices than in the United States. Increasingly, third-party payors are requiring that drug companies provide them with predetermined discounts from list prices and are challenging the prices charged for medical products.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case of our Medicaid pricing data, if we become aware that our reporting for a prior quarter is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NEXLETOL and NEXLIZET or any of our future drug candidates, if approved, or a decision by a third-party payor to not cover NEXLETOL and NEXLIZET or any of our future drug candidates could reduce physician usage of such drugs and have a material adverse effect on our sales, results of operations and financial condition.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Medicaid Drug Rebate Program, or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or AMP, and adding a new rebate calculation for "line extensions" (i.e., new formulations, such as extended release formulations) of solid oral dosage forms of branded products, creating a new methodology by which rebates owed are calculated for drugs that are inhaled, infused, instilled, implanted, or injected,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2010, the ACA became law in the United States. The goal of the ACA is to reduce the cost of healthcare and substantially change the way healthcare is financed by both governmental and private insurers. The ACA, among other things, increases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effective January 1, 2019, by the Bipartisan Budget Act of 2018) point-of-sale discounts off negotiated prices of applicable brand drugs to eligible beneficiaries during their coverage gap period as a condition for the manufacturer’s outpatient drugs to be covered under Medicare Part D.</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252" w:lineRule="exact"/>
        <w:rPr>
          <w:sz w:val="20"/>
          <w:szCs w:val="20"/>
          <w:color w:val="auto"/>
        </w:rPr>
      </w:pPr>
    </w:p>
    <w:p>
      <w:pPr>
        <w:ind w:left="660" w:right="2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1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88"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202"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the Inflation Reduction Act of 2022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NEXLETOL and NEXLIZET or any future drug candidates for which we may obtain marketing approval. However, any negotiated prices for NEXLETOL and NEXLIZET or any future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Since its inception, there have been multiple changes to the 340B drug pricing program.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Plaintiffs-appellees filed a petition for a writ of certiorari at the Supreme Court on February 10, 2021. On June 15, 2022, the Supreme Court unanimously reversed the Court of Appeals' decision, holding that HHS's 2018 and 2019 reimbursement rates for 340B hospitals were contrary to the statute and unlawful. It is unclear how these developments may impact the sale of our current and future products and the rates that we may charge in the future.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NEXLETOL and NEXLIZET or any of our future drug candidates for which we may obtain marketing approval, if any such drug or the condition that they are intended to treat are the subject of a trial. It is also possible that comparative effectiveness research demonstrating benefits in a competitor's drug could adversely affect the sales of NEXLETOL and NEXLIZET or any of our future drug candidates for which we may obtain marketing approval. If third-party payors do not consider NEXLETOL and NEXLIZET or any future drugs to be cost-effective compared to other available therapies, they may not cover such drugs as a benefit under their plans or, if they do, the level of payment may not be sufficient to allow us to sell such drugs on a profitable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recent years, additional laws have resulted in direct or indirect reimbursement reductions for certain Medicare providers, including:</w:t>
      </w:r>
    </w:p>
    <w:p>
      <w:pPr>
        <w:spacing w:after="0" w:line="212" w:lineRule="exact"/>
        <w:rPr>
          <w:sz w:val="20"/>
          <w:szCs w:val="20"/>
          <w:color w:val="auto"/>
        </w:rPr>
      </w:pPr>
    </w:p>
    <w:p>
      <w:pPr>
        <w:ind w:left="660" w:hanging="328"/>
        <w:spacing w:after="0" w:line="23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or BCA,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resumed on July 1, 2022.</w:t>
      </w:r>
    </w:p>
    <w:p>
      <w:pPr>
        <w:spacing w:after="0" w:line="21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43"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pricing, reduce the cost of prescription drugs under Medicare, and review the relationship between pricing and manufacturer patient support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on November 20, 2020 CMS issued an Interim Final Rule implementing the Most Favored Nation, or MFN, Model under which Medicare Part B reimbursement rates would be calculated for certain drugs and biologicals based on the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lowest price drug manufacturers receive in Organization for Economic Cooperation and Development countries with a similar gross domestic product per</w:t>
      </w:r>
    </w:p>
    <w:p>
      <w:pPr>
        <w:spacing w:after="0" w:line="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 court order, the removal and addition of the aforementioned safe harbors were delayed and recent legislation imposed a moratorium on implementation of the rule until January 1, 2026. This deadline was pushed back to January 1, 2027 by the Bipartisan Safer Communities Act. The IRA further delayed implementation of this rule to January 1, 2032.</w:t>
      </w:r>
    </w:p>
    <w:p>
      <w:pPr>
        <w:spacing w:after="0" w:line="2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0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NEXLETOL and NEXLIZET or any future drug candidates for which we may obtain regulatory approval or the frequency with which NEXLETOL and NEXLIZET or any such drug candidate is prescribed or used.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1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For our drugs and any future drug candidates that obtain regulatory approval and are marketed in the U.S., our arrangements with third-party payors, customers, and other third parties may expose us to broadly applicable fraud and abuse and other healthcare laws and regulations that may constrain the business or financial arrangements and relationships through which we market, sell, and distribute NEXLETOL and NEXLIZET or any future products candidates for which we obtain marketing approval.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In addition, we may be subject to health information privacy and security regulation by U.S. federal and state governments and foreign jurisdictions in which we conduct our business. In the U.S., these laws include, without limitation, state and federal anti-kickback, false claims, physician transparency, and patient data privacy and security laws and regulations, including but not limited to those described below:</w:t>
      </w:r>
    </w:p>
    <w:p>
      <w:pPr>
        <w:spacing w:after="0" w:line="232" w:lineRule="exact"/>
        <w:rPr>
          <w:sz w:val="20"/>
          <w:szCs w:val="20"/>
          <w:color w:val="auto"/>
        </w:rPr>
      </w:pPr>
    </w:p>
    <w:p>
      <w:pPr>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on its behalf) to, knowingly and willfully offer, solicit, receive, or pay remuneration (including any kickback, bribe, or rebate), directly or indirectly, in cash or in kind, that is intended to induce or reward, or in return for, either the referral of an individual for, or the purchase, order, or recommendation of, any good or service, for which payment may be made, in whole or in part, under federal healthcare programs such as the Medicare and Medicaid programs. Violations of this law are subject to civil and criminal fines and penalties for each violation, plus up to three times the remuneration involved, imprisonment, administrative civil monetary penalties, and exclusion from participation in government healthcare programs. In addition,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180" w:lineRule="exact"/>
        <w:rPr>
          <w:sz w:val="20"/>
          <w:szCs w:val="20"/>
          <w:color w:val="auto"/>
        </w:rPr>
      </w:pPr>
    </w:p>
    <w:p>
      <w:pPr>
        <w:ind w:left="66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False Claims Act, impose criminal and civil penalties, and authorizes civil whistleblower or qui tam actions, against individuals or entities (including manufacturers) for, among other things, knowingly presenting, or causing to be presented false or fraudulent claims for payment by a federal healthcare program; making, using, or causing to be made or used, a false statement or record material to payment of a false or fraudulent claim or obligation to pay or transmit money or property to the federal government; or knowingly concealing or knowingly and improperly avoiding or decreasing an obligation to pay money to the federal government.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Our marketing and activities relating to the reporting of wholesaler or estimated retail prices for NEXLETOL and NEXLIZET or any future product candidates, the reporting of prices used to calculate Medicaid rebate information, and other information affecting federal, state, and third-party reimbursement for NEXLETOL and NEXLIZET or any future product candidates, and the sale and marketing of NEXLETOL and NEXLIZET and any future product candidates, are subject to scrutiny under this law.</w:t>
      </w:r>
    </w:p>
    <w:p>
      <w:pPr>
        <w:spacing w:after="0" w:line="18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9"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or willfully falsifying, concealing or covering up by any trick or device a material fact, or making any materially false, fictitious, or fraudulent statement in connection with the delivery of or payment for healthcare benefits, items, or services relating to healthcare matters. Similar to the U.S. federal Anti-Kickback Statute, a person or entity does not need to have actual knowledge of the healthcare fraud statute implemented under HIPAA or specific intent to violate it in order to have committed a violation.</w:t>
      </w:r>
    </w:p>
    <w:p>
      <w:pPr>
        <w:spacing w:after="0" w:line="191" w:lineRule="exact"/>
        <w:rPr>
          <w:rFonts w:ascii="Times New Roman" w:cs="Times New Roman" w:eastAsia="Times New Roman" w:hAnsi="Times New Roman"/>
          <w:sz w:val="18"/>
          <w:szCs w:val="18"/>
          <w:color w:val="auto"/>
        </w:rPr>
      </w:pPr>
    </w:p>
    <w:p>
      <w:pPr>
        <w:ind w:left="660" w:right="14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and their business associates, that perform services for them that involve the use, or disclosure of, individually identifiable health information, relating to the privacy, security, and transmission of individually identifiable health information without appropriate authorization,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 or injunctions in federal courts to enforce the federal HIPAA laws and seek attorneys' fees and costs associated with pursuing federal civil actions.</w:t>
      </w:r>
    </w:p>
    <w:p>
      <w:pPr>
        <w:spacing w:after="0" w:line="19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require drug manufacturers to calculate and report complex pricing metrics to government programs, where such reported prices may be used in the calculation of reimbursement and/or discounts on approved products.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or Sunshine Act, enacted as part of the ACA, and its implementing regulations, require certain manufacturers of drugs, devices, biologics, and medical supplies for which payment is available under Medicare, Medicaid, or the Children's Health Insurance Program (with certain exceptions) to report annually to the HHS under the Open Payments Program, information related to payments and other "transfers of value" provided to physicians (defined to include doctors, dentists, optometrists, podiatrists, and chiropractors) and teaching hospitals, and ownership and investment interests held by physicians and their immediate family members. Effective January 1, 2022, these reporting obligations extended to include transfers of value made to certain non-physician providers such as physician assistants and nurse practitioners. In addition, many states also require the reporting of payments or other transfers of value. Many of these state laws differ from each other in significant ways, are often not pre-empted, and may have a more prohibitive effect than the Sunshine Act, thus further complicating compliance efforts.</w:t>
      </w:r>
    </w:p>
    <w:p>
      <w:pPr>
        <w:spacing w:after="0" w:line="188"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 privacy and security laws may differ from one another in significant ways and often are not preempted by HIPAA, thus complicating compliance efforts.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California, the California Consumer Privacy Act, or CCPA, was enacted in June 2018, became effective on January 1, 2020, and became subject to enforcement by the California Attorney General's office on July 1, 2020. The CCPA broadly defines personal information, creates new individual privacy rights and protections for California consumers (as defined in the law), and places increased privacy and security obligations on entities handling personal data of consumers or households. Further, a new California privacy law amending the CCPA, the California Privacy Rights Act, or CPRA, was passed by California voters on November 3, 2020. As of January 1, 2023, the CPRA has created additional obligations with respect to processing and safeguarding personal information. The CCPA and CPRA provide for civil penalties for violations and a private right of action for data breaches. Among other provisions, the CCPA and CPRA require covered "business" to provide certain disclosures to consumers about their data collection, use and sharing practices, and to provide affected California residents with ways to opt-out of certain sales or transfers of personal information. While there is an exception for protected health information that is subject to HIPAA and clinical trial regulations, the CCPA and CPRA may impact our business activities if we become a "business" regulated by the scope of the CCPA and CPRA or a service provider to a regulated business.</w:t>
      </w:r>
    </w:p>
    <w:p>
      <w:pPr>
        <w:spacing w:after="0" w:line="2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CCPA and CPRA, new privacy and data security laws have been enacted in a number of states and proposed in more than half of the states in the U.S. and in the U.S. Congress, reflecting a trend toward more stringent privacy legislation in the U.S., which trend may accelerate.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16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the U.S., to help patients access our approved products,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On May 17, 2022, the U.S. District Court for the District of Columbia granted PhRMA’s motion for summary judgment invalidating the accumulator adjustment rule.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In November 2020, the OIG 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Regulatory Considerations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European Union, or EU, NILEMDO and NUSTENDI and any other of our product candidates are also subject to extensive regulatory requirements.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the United States, medicinal products can be marketed only if a marketing authorization from the competent regulatory agencies has been obtained.</w:t>
      </w:r>
    </w:p>
    <w:p>
      <w:pPr>
        <w:spacing w:after="0" w:line="2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we conduct clinical trials in the European Economic Area (“EEA”) and United Kingdom (“UK”), we will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their personal data is being handled and how they can exercise their data protection rights, ensuring there is a valid legal basis to process personal data (if this is consent, the requirements for obtaining consent carries a higher threshold), requirements to conduct privacy impact assessments for certain “high risk” processing, requirements to appoint a data protection officer where sensitive personal data is processed on a “large scale”, limitations on retention of personal data, mandatory data breach notification in certain circumstances, requirements to ensure appropriate technical measures are in place to safeguard personal data, and “privacy by design” requirements, and also creates direct obligations on service providers acting as data processors. The GDPR also imposes strict rules on the transfer of personal data outside of the EEA to countries that do not ensure an adequate level of protection.</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to ensure compliance with the new data protection rules.</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forth the UK’s data protection regime, which is independent from but aligned to the EU’s GDPR.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adequate protection. The UK government has confirmed that personal data transfers from the UK to the EEA remain free flowing.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the U.S., the various phases of preclinical and clinical research in Europe are subject to significant regulatory controls.</w:t>
      </w: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536/2014, or the Regulation, which replaced the previous Clinical Trials Directive on January 31, 2022. The new Regulation is directly applicable in all EU Member States meaning no national implementing legislation in each EU Member State is required. The new Regulation seeks to simplify and streamline the approval of clinical trials in the EU. For example, the sponsor can submit a single application for approval of a clinical trial in various Member States via an EU portal. As part of the application process, the sponsor shall propose a reporting Member State, who will coordinate the validation and evaluation of the application. The reporting Member State shall consult and coordinate with the other Member States in which the clinical trial is to take place (such Member States being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Regulation also aims to streamline and simplify the rules on safety reporting and introduces enhanced transparency requirements such as mandatory submission of a summary of the clinical trial results to the EU portal.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an EU marketing authorization. There are two types of marketing authorizations.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first is the centralized marketing authorization, which is issued by the European Commission through the centralized procedure, or CP, based on the opinion of the Committee for Medicinal Products for Human Use, or CHMP of the EMA. A centralized marketing authorization is valid throughout the entire territory of the EU, and in the additional Member States of the European Economic Area (Iceland, Liechtenstein and Norway). The CP is mandatory for specific products, including for medicinal products produced by certain biotechnological processes, advanced-therapy medicinal products (gene-therapy, somatic cell-therapy or tissue-engineered medicines), products designated as orphan medicinal drugs, and medicinal drugs containing a new active substance indicated for the treatment of HIV or AIDS, cancer, neurodegenerative disorders, diabetes, auto-immune and other immune dysfunctions, and viral diseases. The CP is optional for drugs containing a new active substance not yet authorized in the EU, or for drugs that constitute a significant therapeutic, scientific, or technical innovation or which are in the interest of public health in the EU.</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 and only cover their respective territory, are available for drugs not falling within the mandatory scope of the CP. Where a drug has already been authorized for marketing in a Member State of the EU, this national authorization can be recognized in other Member States through the mutual recognition procedure. If the drug has not received a national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authorization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RMS, the drug is subsequently granted a national marketing authorization in all the Member States (i.e., in the RMS and the Concerned Member States).</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marketing authorization, the EMA or the Competent Authorities of the Member States of the EU make an assessment of the risk benefit balance of the product on the basis of scientific criteria concerning its quality, safety, and efficacy.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 Exclusivity</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marketing authorization application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UK formally left the EU on January 31, 2020, and the UK and EU have signed an EU-UK Trade and Cooperation Agreement, or the TCA, which became provisionally applicable on January 1, 2021 and has been formally applicable since May 1, 2021. The TCA includes specific provisions concerning pharmaceuticals, which include the mutual recognition of Good Manufacturing Practice, or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in many ways, however it is possible that these regimes will diverge more significantly in future now that Great Britain’s regulatory system is independent from the EU and the TCA does not provide for mutual recognition of UK and EU pharmaceutical legislation.</w:t>
      </w:r>
    </w:p>
    <w:p>
      <w:pPr>
        <w:spacing w:after="0" w:line="2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example, Great Britain is no longer covered by centralized marketing authorizations (under the Northern Ireland Protocol, centralized EU authorizations will continue to be recognized in Northern Ireland). All medicinal products with a current centralized authorization, including NILEMDO and NUSTENDI, were automatically converted to GB marketing authorizations on January 1, 2021. For a period of three years from January 1, 2021, the MHRA may rely on a decision taken by the European Commission on the approval of a new marketing authorization in the centralized procedure, in order to more quickly grant a new Great Britain marketing authorization. A separate application will, however, still be required. The MHRA also has the power to have regard to marketing authorizations approved in EU Member States through decentralized or mutual recognition procedures with a view to more quickly granting a marketing authorization in the UK or GB.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Controls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holder of a marketing authorisation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authorisation. Such risk-minimization measures or post-authorisation obligations may include additional safety monitoring, more frequent submission of PSURs, or the conduct of additional clinical trials or post-authorisation safety studies. RMPs and PSURs are routinely available to third parties requesting access, subject to limited redactions.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Medicinal products may only be manufactured in the EU, or imported into the EU from another country, by the holder of a manufacturing authorisation from the competent national authority. The manufacturer or importer must have a qualified person who is responsible for certifying that each batch of product has been manufactured in accordance with EU standards of cGMP before releasing the product for commercial distribution in the EU or for use in a clinical trial. Manufacturing facilities are subject to periodic inspections by the competent authorities for compliance with cGMP.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Governments influence the price of medicinal products in the EU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EU Member States, plus Norway, Liechtenstein and Iceland.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foreign regulations governing clinical studies and commercial sales and distribution of our product candidates to the extent we choose to sell any products outside of the United States. While we have obtained FDA approval for NEXLETOL and NEXLIZET, and approval from the EC and Swissmedic for NILEMDO and NUSTENDI, and whether or not we obtain FDA, EC, or Swissmedic approval for any future product candidate, we must obtain approval of a product or clinical trial application by the comparable regulatory authorities of foreign countries before we can commence clinical studies or marketing of the product in those countries. The approval process varies from country to country and the time may be longer or shorter than that required for FDA approval. The requirements governing the conduct of clinical studies,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order to achieve the goals and expectations of our Company, it is crucial that we continue to attract and retain top talent. To facilitate talent attraction and retention, we strive to make Esperion a safe and rewarding workplace, with opportunities for our employees to grow and develop in their careers, supported by strong compensation, benefits and health and wellness programs, and by programs that build connections between our employees. As of December 31, 2022, we had 199 full-time employees. Nine of our employees have Ph.D. degrees, two have M.D. degrees and five have PharmD degrees. 43 of our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employees are engaged in research and development activities. None of our employees are represented by labor unions or covered by collective bargaining agreements. We consider our relationship with our employees to be good.</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provide robust compensation and benefits programs to help meet the needs of our employees. In addition to salaries, these programs include potential annual discretionary bonuses, stock awards, a 401(k) Plan, healthcare and insurance benefits, health savings and flexible spending accounts, paid time off, family leave, and flexible work schedules, among others. In addition to our broad-based equity award programs, we have used targeted equity-based grants with vesting conditions to facilitate retention of personnel, particularly those with critical drug development skills and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16"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19,400 square feet of office space. We have entered into an amendment to our current lease agreement that, effective as of November 1, 2023, will reduce our leased office space to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11,500 square feet. We believe that our existing facilities are adequate for our current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On January 12, 2016, a purported stockholder of our company filed a class action lawsuit in the United States District Court for the Eastern District of Michigan, against us and Tim Mayleben, captioned </w:t>
      </w:r>
      <w:r>
        <w:rPr>
          <w:rFonts w:ascii="Times New Roman" w:cs="Times New Roman" w:eastAsia="Times New Roman" w:hAnsi="Times New Roman"/>
          <w:sz w:val="18"/>
          <w:szCs w:val="18"/>
          <w:i w:val="1"/>
          <w:iCs w:val="1"/>
          <w:color w:val="auto"/>
        </w:rPr>
        <w:t>Kevin L. Dougherty v. Esperion Therapeutics, Inc., et al.</w:t>
      </w:r>
      <w:r>
        <w:rPr>
          <w:rFonts w:ascii="Times New Roman" w:cs="Times New Roman" w:eastAsia="Times New Roman" w:hAnsi="Times New Roman"/>
          <w:sz w:val="18"/>
          <w:szCs w:val="18"/>
          <w:color w:val="auto"/>
        </w:rPr>
        <w:t xml:space="preserve"> (No. 16-cv-10089). The lawsuit alleges that we and Mr. Mayleben violated Sections 10(b) and 20(a) of the Securities Exchange Act of 1934 and SEC Rule 10b-5 by allegedly failing to disclose in an August 17, 2015, public statement that the FDA would require a cardiovascular outcomes trial before approving our lead product candidate. The lawsuit seeks, among other things, compensatory damages in connection with an allegedly inflated stock price between August 18, 2015, and September 28, 2015, as well as attorneys’ fees and costs.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during the three months ended March 31, 2021, we recorded a loss on settlement of $13.25 million in selling, general, and administrative expenses on the statements of operations and comprehensive loss, which represents the litigation settlement of $18.25 million offset by $5.0 million in insurance claim proceeds from our insurance carriers.</w:t>
      </w:r>
    </w:p>
    <w:p>
      <w:pPr>
        <w:spacing w:after="0" w:line="23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website address is www.esperion.com. Our Annual Reports on Form 10-K, Quarterly Reports on Form 10-Q, Current Reports on Form 8-K and amendments to those reports filed or furnished pursuant to Section 13(a) or 15(d) of the Securities Exchange Act of 1934 are available free of charge through the investor relations page of our internet website as soon as reasonably practicable after we electronically file such material with, or furnish it to, the Securities and Exchange Commission. Alternatively, these reports may be accessed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the following section, as well as those discussed in Part II, Item 7 entitled “Management’s Discussion and Analysis of Financial Condition and Results of Operations” and elsewhere throughout this report and in any documents incorporated in this report by reference.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all of the other information included or incorporated in this report. If any of the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Impact of Uncertain Capital Markets</w:t>
      </w:r>
    </w:p>
    <w:p>
      <w:pPr>
        <w:spacing w:after="0" w:line="2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shares through our at-the-market (ATM) offering program. Increased volatility and decreases in market prices of equity securities generally and of our common shares in particular may have an adverse impact on our willingness and/or</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ability to continue to sell our common shares through our ATM offering. Decreases in these sales would/could affect the cost or availability of equity capital, which could in turn have an adverse effect on our business, including current operations, future growth, revenues, net income and the market prices of our common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 2021, we commenced an at-the-market, or ATM, program to raise capital under an automatically effective registration statement on Form S-</w:t>
      </w:r>
    </w:p>
    <w:p>
      <w:pPr>
        <w:spacing w:after="0" w:line="5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3ASR, which was replaced on April 15, 2022 with a new registration statement on Form S-3. Under our current ATM program, we have entered into a sales agreement to sell common shares, up to a maximum aggregate market value of $70 million, through one or more at-the-market offerings. Given the</w:t>
      </w:r>
    </w:p>
    <w:p>
      <w:pPr>
        <w:spacing w:after="0" w:line="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operations consume substantial amounts of cash, and our future capital requirements may be significantly different from our current estimates and will depend on many factors, including the need to:</w:t>
      </w:r>
    </w:p>
    <w:p>
      <w:pPr>
        <w:spacing w:after="0" w:line="21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finance unanticipated working capital requirements;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develop or enhance our technological infrastructure and our existing solutions;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respond to competitive pressures.</w:t>
      </w:r>
    </w:p>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Development and Commercialization</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almost entirely on the success of two products, bempedoic acid and the bempedoic acid / ezetimibe combination tablet. There is no assurance that our commercialization efforts in the U.S. and DSE's effort in Europe with respect to either product will be successful or that we will be able to generate revenues at the levels or within the timing we expect or at the levels or within the timing necessary to support our goals.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2022, we generated $55.9 million in revenues from the sale of products in the U.S. Our lead products, NEXLETOL (bempedoic acid) tablet and NEXLIZET (bempedoic acid and ezetimibe) tablet, were approved by the FDA in February 2020. NEXLETOL became commercially available in the U.S. in March 2020 and NEXLIZET became commercially available in the U.S. in June 2020. On April 6, 2020, we announced that the EC approved NILEMDO (bempedoic acid) and NUSTENDI (bempedoic acid and ezetimibe) tablet for the treatment of hypercholesterolemia and mixed dyslipidemia. The decision is applicable to all 27 European Union member states plus the United Kingdom, Iceland, Norway and Liechtenstein. NILEMDO (bempedoic acid) and NUSTENDI (bempedoic acid and ezetimibe) are the branded product names for bempedoic acid and the bempedoic acid / ezetimibe combination tablet in Europe. Since 2020, Daiichi Sankyo launched NILEMDO and NUSTENDI in multiple EU countries. There is no assurance that the commercial launches will be successful or that additional launches will occur on the timing we anticipate. We may encounter delays or hurdles related to our launches that affect timing.</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business currently depends heavily on our ability to successfully commercialize NEXLETOL and NEXLIZET in the U.S. to treat patients as an adjunct to diet and maximally tolerated statin therapy for the treatment of adults with HeFH or established ASCVD who require additional lowering of LDL-C. We may never be able to successfully commercialize the products or meet our expectations with respect to revenues. Prior to our launch in March 2020, we had never marketed, sold or distributed for commercial use any pharmaceutical product. There is no guarantee that the infrastructure, systems, processes, policies, personnel, relationships and materials we have built and may alter to commercialize these products in the U.S. will be sufficient for us to achieve success at the levels we expect. Additionally, healthcare providers may not accept a new treatment paradigm for patients with HeFH or established ASCVD who require additional lowering of LDL-C. We may also encounter challenges related to reimbursement of bempedoic acid and the bempedoic acid / ezetimibe combination tablet, even if we have positive early indications from payors, including potential limitations in the scope, breadth, availability, or amount of reimbursement covering each product. Additionally, coverage by a third-party payor does not guarantee reimbursement. For example, the terms of certain agreements require or may require practitioners to seek prior authorization from the third-party payor. Payors have implemented prior authorization requirements for our products which has impacted utilization and, thus, our ability to generate revenue from commercial sales of NEXLIZET and NEXLETOL in the United States. The Company implemented a prior authorization support program to support patients and physician practices in facilitating prior authorizations. In addition, we have created a bridge program for patients who have been prescribed our product but are experiencing delays in obtaining insurance coverage. If patients continue to experience difficulty in obtaining prior authorization for our products and/or our programs on a timely basis, this may adversely impact ongoing sales of our products.</w:t>
      </w:r>
    </w:p>
    <w:p>
      <w:pPr>
        <w:spacing w:after="0" w:line="19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obtained regulatory approval from the FDA, the EC, and Swissmedic for both of our leading product candidates as an adjunct to diet and maximally tolerated statin therapy for the treatment of adults with HeFH or established ASCVD who require additional lowering of LDL-C, but we cannot be certain that we will be able to obtain approval from regulatory authorities in other territories we decide to pursue, or successfully commercialize our products and any future product candidates. Additionally, we cannot be certain that we will be able to obtain approval either of our candidates for any other indication or approval of any future product candidates.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Bempedoic acid and the bempedoic acid / ezetimibe combination tablet may require substantial additional clinical development, testing, and regulatory approvals before we are permitted to commence their commercialization in markets outside of the U.S. and Europe for an LDL-C lowering indication. The clinical studies, manufacturing and marketing of our products and any future product candidates are subject to extensive and rigorous review and regulation by numerous government authorities in the U.S. and in other countries where we intend to test and, if approved, market any product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candidate. Before obtaining regulatory approvals for the commercial sale of any product candidate, we must demonstrate through preclinical testing and clinical studies that the product candidate is safe and effective for use in each target indication. This process can take many years and require the expenditure of substantial resources, and may include post-marketing studies and surveillance. Of the large number of drugs in development in the U.S., only a small percentage successfully complete the approval process at the FDA, EMA or any other foreign regulatory agency, and are commercialized. Accordingly, we cannot assure you that bempedoic acid and the bempedoic acid / ezetimibe combination tablet or any other of our product candidates we may develop will be successfully developed or commercialized.</w:t>
      </w:r>
    </w:p>
    <w:p>
      <w:pPr>
        <w:spacing w:after="0" w:line="17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or in Europe for any other indication until we receive approval of an NDA supplement from the FDA, Marketing Authorisation Application, or MAA, from the EC, or in any other foreign countries until we receive the requisite approval from such countries. Additionally, we may decide to submit a supplemental NDA or MAA in the future for bempedoic acid and the bempedoic acid / ezetimibe combination tablet for other indications, such as our planned submissions for a CVD risk reduction indication in the U.S. and Europe. As a condition to submitting an NDA supplement or MAA for bempedoic acid to treat patients with hypercholesterolemia for a CVD risk reduction indication, we have completed the CLEAR Outcomes CVOT, and we intend to use the data from this trial to support future regulatory submissions.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Obtaining approval of an NDA or MAA is a complex, lengthy, expensive and uncertain process, and the FDA or EMA may delay, limit or deny approval of bempedoic acid and the bempedoic acid / ezetimibe combination tablet for many reasons, including, among others:</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authorities may change their approval policies or adopt new regulations;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authorities may change their approval policies for an LDL-C lowering indication for bempedoic acid and the bempedoic acid / ezetimibe combination tablet if there is a shift in the future standard-of-care for statin intolerant patients with hypercholesterolemia;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authorities may change their approval policies with regard to a CVD risk reduction indication;</w:t>
      </w:r>
    </w:p>
    <w:p>
      <w:pPr>
        <w:spacing w:after="0" w:line="225"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that bempedoic acid and the bempedoic acid / ezetimibe combination tablet are safe and effective in reducing cardiovascular risk or in treating patients with hypercholesterolemia to the satisfaction of the FDA, EMA or any other regulatory agency;</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studies may not meet the level of statistical or clinical significance required by the FDA or EMA for marketing approval;</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effect must also be clinically meaningful along with the drug’s safety for a favorable benefit/risk assessment by the FDA, EMA or any other regulatory agency;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change in the future the number, design, size, duration, patient enrollment criteria, exposure of patients, or conduct or implementation of our clinical studies;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require that we conduct additional clinical studies;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not approve the formulation, specifications or labeling of bempedoic acid and the bempedoic acid / ezetimibe combination tablet;</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research organizations, or CROs, that we retain to conduct our clinical studies may take actions outside of our control that materially adversely impact our clinical studies;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find the data from preclinical studies and clinical studies insufficient to demonstrate that the clinical and other benefits of bempedoic acid and the bempedoic acid / ezetimibe combination tablet outweigh the safety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disagree with our interpretation of data from our preclinical studies and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not accept data generated at our clinical study sites;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NDAs are reviewed by an advisory committee, the FDA may have difficulties scheduling an advisory committee meeting in a timely manner or the advisory committee may recommend against approval of our applications or may recommend that the FDA require, as a condition of approval, additional preclinical studies or clinical studies, limitations in approved labeling or distribution and use restrictions;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require the development of a REMS as a condition of approval or post-approval; or</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agency may not approve the manufacturing processes or facilities of third-party manufacturers with which we contract.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bempedoic acid and the bempedoic acid / ezetimibe combination tablet. Moreover, because our business is almost entirely dependent upon these product candidates, any setback in our pursuit of initial or additional regulatory approvals would have a material adverse effect on our business and prospects.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development and approvals required for the approval of the bempedoic acid / ezetimibe combination tablet are substantially identical to those for bempedoic acid, and the risks relating to the clinical development and approval of bempedoic acid apply equally to the bempedoic acid / ezetimibe combination tablet. Any failure in our development of bempedoic acid would materially and adversely affect our ability to develop, seek approval for and commercialize the bempedoic acid / ezetimibe combination tablet for the planned indications. In addition, even if bempedoic acid succeeds in its clinical development and is approved for one or more indications, there can be no assurance that the bempedoic acid / ezetimibe combination tablet would be developed successfully and approved for the same indications or at all, and vice versa.</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bempedoic acid and the bempedoic acid / ezetimibe combination tablet or any future approved drugs may be unsuccessful or less successful than anticipated.</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have commercially launched our approved drugs in the U.S. and DSE has commercially launched in multiple countries in the EU,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bempedoic acid and the bempedoic acid / ezetimibe combination tablet, we will need to successfully:</w:t>
      </w:r>
    </w:p>
    <w:p>
      <w:pPr>
        <w:spacing w:after="0" w:line="220" w:lineRule="exact"/>
        <w:rPr>
          <w:sz w:val="20"/>
          <w:szCs w:val="20"/>
          <w:color w:val="auto"/>
        </w:rPr>
      </w:pPr>
    </w:p>
    <w:p>
      <w:pPr>
        <w:ind w:left="660" w:right="42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and maintain our relationships with healthcare providers who will be treating the patients who may receive our drugs and any future drugs;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obtain adequate pricing and reimbursement for bempedoic acid and the bempedoic acid / ezetimibe combination tablet and any future drugs;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maintain successful strategic alliances;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manage our spending for clinical trials, marketing approvals, and commercialization.</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bempedoic acid and the bempedoic acid / ezetimibe combination tablet or any future drug candidates, raise capital, expand our business, or continue our operations.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the bempedoic acid / ezetimibe combination tablet in the U.S. and Europe, and, if approved in other territories, depends on the continued availability of ezetimibe.</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bempedoic acid / ezetimibe combination tablet is dependent on the continued availability of ezetimibe in the marketplace, and there can be no assurance that the current availability of ezetimibe will continue. The producers of ezetimibe are under no obligation to continue producing, commercializing or making ezetimibe available to patients, or to continue producing ezetimibe in any particular quantity, which could prevent our ability to obtain ezetimibe. For example, such producers may encounter manufacturing or other production issues and fail to produce enough ezetimibe, and this could cause our commercialization efforts to fail or be significantly delayed.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sole source third-party suppliers could harm our ability to commercialize bempedoic acid and the bempedoic acid / ezetimibe combination tablet or any drug candidates that may be approved in the future.</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scaled up our manufacturing process for bempedoic acid and the bempedoic acid / ezetimibe combination tablet in order to meet our estimated commercial requirements. We do not currently own or operate manufacturing facilities for the production of bempedoic acid and the bempedoic acid / ezetimibe combination tablet or any future drug candidates that may be approved in the future. We rely on sole source third-party suppliers to manufacture and supply bempedoic acid and the bempedoic acid / ezetimibe combination tablet which may not be able to produce sufficient inventory to meet commercial demand in a cost-efficient, timely manner, or at all. Our third-party suppliers may not be required to, or may be unable to, provide us with any guaranteed minimum production levels or have sufficient dedicated capacity for our drugs. As a result, there can be no assurances that we will be able to obtain sufficient quantities of bempedoic acid and the bempedoic acid / ezetimibe combination tablet or any drug candidates that may be approved in the future, which could have a material adverse effect on our business as a whole.</w:t>
      </w:r>
    </w:p>
    <w:p>
      <w:pPr>
        <w:spacing w:after="0" w:line="188"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marketing approval for bempedoic acid and the bempedoic acid / ezetimibe combination tablet in the U.S. and Europe, and even if we receive such approval in other markets, we may still face future development, ongoing regulatory oversight and regulatory difficulties.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though we have received marketing approval for bempedoic acid and the bempedoic acid / ezetimibe combination tablet in the U.S. and Europe, and even if we receive such approval in other markets, regulatory authorities may still impose significant restrictions on bempedoic acid or the bempedoic acid / ezetimibe combination tablet’s indicated uses or marketing or impose ongoing requirements for potentially costly post-approval studies. Bempedoic acid and the bempedoic acid / ezetimibe combination tablet will also be subject to ongoing FDA requirements governing the packaging, storage, labeling, advertising and promotion of the product, recordkeeping and submission of safety updates and other post-marketing information. The FDA has significant post-marketing authority, including, for example, the authority to require labeling changes based on new safety information and to require post-marketing studies or clinical studies to evaluate serious safety risks related to the use of a drug product. For example, as part of our NEXLETOL and NEXLIZET approval, the FDA has required both a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 infant through the first year of life, and a lactation study to analyze milk in lactating women who have received therapeutic doses of NEXLETOL and NEXLIZET.</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EMA and other foreign regulatory authorities may impose similar requirements on bempedoic acid or the bempedoic acid / ezetimibe combination tablet as those described above with respect to the FDA.</w:t>
      </w:r>
    </w:p>
    <w:p>
      <w:pPr>
        <w:spacing w:after="0" w:line="14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Manufacturers of drug products and their facilities are subject to continual review and periodic unannounced inspections by the FDA and other regulatory authorities for compliance with current Good Manufacturing Practices and other regulations.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if we or a regulatory agency discover problems with bempedoic acid or the bempedoic acid / ezetimibe combination tablet, such as adverse events of unanticipated severity or frequency, or problems with the facility where bempedoic acid or the bempedoic acid / ezetimibe combination tablet is manufactured, a regulatory agency may impose restrictions on bempedoic acid or the bempedoic acid</w:t>
      </w:r>
    </w:p>
    <w:p>
      <w:pPr>
        <w:spacing w:after="0" w:line="4" w:lineRule="exact"/>
        <w:rPr>
          <w:sz w:val="20"/>
          <w:szCs w:val="20"/>
          <w:color w:val="auto"/>
        </w:rPr>
      </w:pPr>
    </w:p>
    <w:p>
      <w:pPr>
        <w:ind w:right="60" w:firstLine="8"/>
        <w:spacing w:after="0" w:line="237" w:lineRule="auto"/>
        <w:tabs>
          <w:tab w:leader="none" w:pos="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the manufacturer or us, including requiring withdrawal of bempedoic acid or the bempedoic acid / ezetimibe combination tablet from the market or suspension of manufacturing. Additionally, under the Food and Drug Omnibus Reform Act of 2020, or FDORA, sponsors of approved drugs must provide 6 months’ notice to the FDA of any changes in marketing status, such as the withdrawal of a drug, and failure to do so could result in the FDA placing the product on a list of discontinued products, which would revoke the product’s ability to be marketed. If we, bempedoic acid or the bempedoic acid / ezetimibe combination tablet or the manufacturing facilities for bempedoic acid or the bempedoic acid / ezetimibe combination tablet fail to comply with applicable regulatory requirements, a regulatory agency may, among other things: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request that we initiate a product recall.</w:t>
      </w: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Once a new drug application, or NDA, is approved, the product covered thereby becomes a “reference listed drug” in the FDA’s publication, “Approved Drug Products with Therapeutic Equivalence Evaluations,” commonly known as the Orange Book. Under the Drug Price Competition and Patent Term Restoration Act of 1984, or the Hatch-Waxman Act to the Federal Food, Drug, and Cosmetic Act, or FDCA, a company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 new chemical entity, or NCE,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212"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18"/>
          <w:szCs w:val="18"/>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or as lengthened or shortened by a court.</w:t>
      </w:r>
    </w:p>
    <w:p>
      <w:pPr>
        <w:spacing w:after="0" w:line="2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four years following approval of the reference listed drug,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18"/>
          <w:szCs w:val="18"/>
          <w:color w:val="auto"/>
        </w:rPr>
        <w:t xml:space="preserve"> February 21, 2024, for NEXLETOL. 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 Competition that NEXLETOL could face from an approved generic and other versions of NEXLETOL could materially and adversely affect our future revenue, profitability, and cash flows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limit our ability to obtain a return on the investments we have made in developing NEXLETOL. The same could happen for NEXLIZET.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the False Claims Act, laws and regulations related to the reporting of payments to physicians and teaching hospitals, and HIPAA,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7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 xml:space="preserve">Additionally, we are subject to state and foreign equivalents of each of the healthcare laws described in the section entitled </w:t>
      </w:r>
      <w:r>
        <w:rPr>
          <w:rFonts w:ascii="Times New Roman" w:cs="Times New Roman" w:eastAsia="Times New Roman" w:hAnsi="Times New Roman"/>
          <w:sz w:val="18"/>
          <w:szCs w:val="18"/>
          <w:i w:val="1"/>
          <w:iCs w:val="1"/>
          <w:color w:val="auto"/>
        </w:rPr>
        <w:t>“Business – Other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Laws”, </w:t>
      </w:r>
      <w:r>
        <w:rPr>
          <w:rFonts w:ascii="Times New Roman" w:cs="Times New Roman" w:eastAsia="Times New Roman" w:hAnsi="Times New Roman"/>
          <w:sz w:val="18"/>
          <w:szCs w:val="18"/>
          <w:color w:val="auto"/>
        </w:rPr>
        <w:t>among others, some of which may be broader in scope and may apply regardless of the payor. For instance,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may apply to items or services reimbursed by any third-party payor, including commercial insurers or patients. Laws related to insurance fraud may provide claims involving private insurers. Further data privacy and security laws and regulations in foreign jurisdictions that may be more stringent than those in the U.S. (such as the European Union, which adopted the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w:t>
      </w:r>
    </w:p>
    <w:p>
      <w:pPr>
        <w:spacing w:after="0" w:line="1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who need assistance. Further, it is possible that changes in insurer policies regarding co-pay coupons and/or the introduction and enactment of new legislation or regulatory action could restrict or otherwise negatively affect these patient support programs, which could result in fewer patients using</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affected products, and therefore could have a material adverse effect on our sales, business, and financial condition.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w:t>
      </w:r>
    </w:p>
    <w:p>
      <w:pPr>
        <w:spacing w:after="0"/>
        <w:rPr>
          <w:sz w:val="20"/>
          <w:szCs w:val="20"/>
          <w:color w:val="auto"/>
        </w:rPr>
      </w:pPr>
      <w:r>
        <w:rPr>
          <w:rFonts w:ascii="Times New Roman" w:cs="Times New Roman" w:eastAsia="Times New Roman" w:hAnsi="Times New Roman"/>
          <w:sz w:val="18"/>
          <w:szCs w:val="18"/>
          <w:color w:val="auto"/>
        </w:rPr>
        <w:t>costs. We cannot predict how the implementation of and any further changes to these rules will affect our business.</w:t>
      </w:r>
    </w:p>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often scrutinize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time-and resource-consuming and can divert a company’s attention from the business.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 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guidance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Formulary Coverage, Pricing, and Reimbursement policies could limit our ability to sell bempedoic acid or the bempedoic acid / ezetimibe combination tablet.</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and reimbursed by third-party payors, such as government health programs, commercial insurance and managed healthcare organizations. Adequate coverage and reimbursement from third party payors are critical to new product acceptance. In the United States, the principal decisions about reimbursement for new medicines are typically made by the Centers for Medicare &amp; Medicaid Services, or CMS, an agency within the U.S. Department of Health and Human Services. CMS decides whether and to what extent our products will be covered and reimbursed under Medicare and private payors tend to follow CMS to a substantial degree.</w:t>
      </w:r>
    </w:p>
    <w:p>
      <w:pPr>
        <w:spacing w:after="0" w:line="1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Market acceptance and sales of bempedoic acid and the bempedoic acid / ezetimibe combination tablet will depend, in part, on the extent to which our products in the U.S. will be covered and reimbursed by third-party payors, such as government health care programs, commercial insurance, and managed healthcare organizations and may be affected by healthcare reform measures. See the section entitled “</w:t>
      </w:r>
      <w:r>
        <w:rPr>
          <w:rFonts w:ascii="Times New Roman" w:cs="Times New Roman" w:eastAsia="Times New Roman" w:hAnsi="Times New Roman"/>
          <w:sz w:val="18"/>
          <w:szCs w:val="18"/>
          <w:i w:val="1"/>
          <w:iCs w:val="1"/>
          <w:color w:val="auto"/>
        </w:rPr>
        <w:t>Business – Coverage, Reimbursement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Reform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Cost containment is a primary concern in the U.S. healthcare industry and elsewhere. Government authorities and these third-party payors have attempted to control costs by limiting coverage and the amount of reimbursement for particular medications. The U.S. federal government, state legislatures and foreign governments have shown significant interest in implementing cost-containment programs, including price controls, restrictions on reimbursement, utilization management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bempedoic acid and the bempedoic acid / ezetimibe combination tablet or a decision by a third-party payor to not cover bempedoic acid and the bempedoic acid / ezetimibe combination tablet could reduce physician usage of the products and could have a material adverse effect on our sales, results of operations and financial condition.</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bempedoic acid or the bempedoic acid / ezetimibe combination tablet and, if reimbursement is available, the level of such reimbursement. Reimbursement may impact the demand for, or the price of, bempedoic acid or the bempedoic acid / ezetimibe combination tablet. If reimbursement is not available or is available only at limited levels, we may not be able to successfully commercialize bempedoic acid or the bempedoic acid / ezetimibe combination tablet.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prices. We cannot be sure that coverage will be available for any products or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one country to another. An inability to promptly obtain coverage and adequate payment rates from both government-funded and private payors for any of our products or product candidates for which we, or any future collaborator, obtain regulatory approval could significantly harm our operating results, our ability to raise capital needed to commercialize products and our overall financial condition.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study that compares the cost-effectiveness of bempedoic acid and the bempedoic acid / ezetimibe combination tablet with other available therapies. If reimbursement for bempedoic acid or the bempedoic acid / ezetimibe combination tablet is unavailable in any country in which we seek reimbursement, if it is limited in scope or amount, if it is conditioned upon our completion of additional clinical studies, or if pricing is set at unsatisfactory levels, our operating results could be materially adversely affected.</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may increase pressure to reduce prices of certain pharmaceutical products paid for by Medicare, which could materially adversely affect our revenue and our results of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spacing w:after="0" w:line="17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See “</w:t>
      </w:r>
      <w:r>
        <w:rPr>
          <w:rFonts w:ascii="Times New Roman" w:cs="Times New Roman" w:eastAsia="Times New Roman" w:hAnsi="Times New Roman"/>
          <w:sz w:val="18"/>
          <w:szCs w:val="18"/>
          <w:i w:val="1"/>
          <w:iCs w:val="1"/>
          <w:color w:val="auto"/>
        </w:rPr>
        <w:t>Business – Coverage, Reimbursement and Healthcare Reform</w:t>
      </w:r>
      <w:r>
        <w:rPr>
          <w:rFonts w:ascii="Times New Roman" w:cs="Times New Roman" w:eastAsia="Times New Roman" w:hAnsi="Times New Roman"/>
          <w:sz w:val="18"/>
          <w:szCs w:val="18"/>
          <w:color w:val="auto"/>
        </w:rPr>
        <w:t>” for more discussion on healthcare reform efforts. It is unclear how the Biden administration will prioritize and execute initiatives to contain healthcare costs. The continuing efforts of the government, insurance companies, managed care organizations and other payors of healthcare services to contain or reduce costs of healthcare may adversely affect:</w:t>
      </w:r>
    </w:p>
    <w:p>
      <w:pPr>
        <w:spacing w:after="0" w:line="2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any products for which we may obtain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25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our products and any future approved product.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Finally, the availability of generic LDL-C lowering treatments may also substantially reduce the likelihood of reimbursement for branded counterparts or other competitive LDL-C lowering therapies, such as bempedoic acid or the bempedoic acid / ezetimibe combination tablet. If we fail to successfully secure and maintain reimbursement coverage for our products or are significantly delayed in doing so, we will have difficulty achieving market acceptance of our products and our business will be harmed.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 the event we decide to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EU General Data Protection Regulation 2016/679, or EU GDPR, which became effective on May 25, 2018. Following the United Kingdom’s (“U.K.”) withdrawal from the EU on January 31, 2020 and the end of the transitional arrangements agreed between the U.K. and EU as of January 1, 2021, the EU GDPR has been incorporated into U.K. domestic law by virtue of section 3 of the European Union (Withdrawal) Act 2018 and amended by the Data Protection, Privacy and Electronic Communications (Amendments etc.) (EU Exit) Regulations 2019 (“U.K. GDPR” and, together with the EU GDPR, “GDPR”). The GDPR is wide-ranging in scope and imposes numerous requirements on companies that process personal data, including requirements relating to processing health and other sensitive data, where required obtaining consent of the individuals to whom the personal data relates or ensuring there is another valid legal basis to process the personal data, providing information to individuals regarding data processing activities,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The GDPR also imposes strict rules on the transfer of personal data to countries outside the EEA or the U.K., including the United States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w:t>
      </w: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Adequate safeguards must be implemented to enable the transfer of personal data outside of the EEA or the U.K., in particular to the U.S., in compliance with European and U.K. data protection laws. On June 4, 2021, the European Commission (EC) issued new forms of standard contractual clauses for data transfers from controllers or processors in the EEA (or otherwise subject to the EU GDPR) to controllers or processors established outside the EEA (and not subject to the EU GDPR). The new standard contractual clauses replace the standard contractual clauses that were adopted previously under the Data Protection Directive. The U.K. is not subject to the EC’s new standard contractual clauses but has published its own standard clauses, which enable transfers from the U.K. We may be required to implement these new safeguards when conducting restricted data transfers under the GDPR and doing so will require significant effort and cost.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The U.K. Government has confirmed that transfers from the U.K. to the EEA may continue to flow freely. Changes with respect to any of these matters may lead to additional costs and increase our overall risk exposure.</w:t>
      </w:r>
    </w:p>
    <w:p>
      <w:pPr>
        <w:spacing w:after="0" w:line="2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 addition, California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beginning on July 1, 2020.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 and significantly modifies the CCPA, including by expanding consumers’ rights with respect to certain sensitive personal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addition, on March 2, 2021, Virginia enacted the Consumer Data Protection Act (the “CDPA”). The CDPA became effective January 1, 2023. The CDPA regulates how businesses (which the CDPA refers to as “controllers”) collect and share 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Also, on July 8, 2021, Colorado’s governor signed the Colorado Privacy Act (“CPA”), into law. The CPA will become effective July 1, 2023. The CPA is rather similar to Virginia’s CPDA but also contains additional requirements. In addition, on March 24, 2022, Utah’s governor signed the Utah Consumer Privacy Act into law, which will take effect on December 31, 2023 and on May 10, 2022, Connecticut’s Governor signed an Act Concerning Personal Data Privacy and Online Monitoring into law. This measure will become effective July 1, 2023.</w:t>
      </w:r>
    </w:p>
    <w:p>
      <w:pPr>
        <w:spacing w:after="0" w:line="226"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color w:val="auto"/>
        </w:rPr>
        <w:t>In addition to these laws, many other states have proposed or enacted their own versions of a broad consumer privacy law. The existence of comprehensive privacy laws in different states in the country will make our compliance obligations more complex and costly and may increase the likelihood that we may</w:t>
      </w:r>
    </w:p>
    <w:p>
      <w:pPr>
        <w:ind w:right="400"/>
        <w:spacing w:after="0" w:line="266" w:lineRule="auto"/>
        <w:rPr>
          <w:sz w:val="20"/>
          <w:szCs w:val="20"/>
          <w:color w:val="auto"/>
        </w:rPr>
      </w:pPr>
      <w:r>
        <w:rPr>
          <w:rFonts w:ascii="Times New Roman" w:cs="Times New Roman" w:eastAsia="Times New Roman" w:hAnsi="Times New Roman"/>
          <w:sz w:val="18"/>
          <w:szCs w:val="18"/>
          <w:color w:val="auto"/>
        </w:rPr>
        <w:t>be subject to enforcement actions or otherwise incur liability for noncompliance. The effects of the CCPA, and other similar state laws, are potentially significant and may require us to modify our data processing practices and policies and to incur substantial costs and potential liability in an effort to comply with such legislation.</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8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members of our executive management team, and to attract, retain and motivate qualified personnel.</w:t>
      </w:r>
    </w:p>
    <w:p>
      <w:pPr>
        <w:spacing w:after="0" w:line="13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We are highly dependent on members of our senior management team. We have entered into employment agreements with these individuals, but any employee may terminate his or her employment with us. Although we do not have any reason to believe that we will lose the services of these individuals in the foreseeable future, the loss of the services of these individuals might impede the achievement of our research, development and commercialization objectives.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studies may make it more challenging to recruit and retain qualified scientific personnel.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Sales, Marketing, and Competition</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market is subject to intense competition. If we are unable to compete effectively, our opportunity to generate revenue from the sale of bempedoic acid or the bempedoic acid / ezetimibe combination tablet in the U.S., in Europe and, if approved, in other territories will be materially adversely affected.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LDL-C lowering therapies market is highly competitive and dynamic and dominated by the sale of inexpensive generic versions of statins. Our success will depend, in part, on our ability to obtain a share of the market, initially, for patient populations consistent with the labeling of our products in jurisdictions where we obtain regulatory approval. Potential competitors in North America, Europe and elsewhere include major pharmaceutical companies, specialty pharmaceutical companies, biotechnology firms, universities and other research institutions and government agencies. Other pharmaceutical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companies may develop LDL-C lowering therapies for patients that compete with bempedoic acid and the bempedoic acid / ezetimibe combination tablet that do not infringe the claims of our patents, pending patent applications or other proprietary rights, which could materially adversely affect our business and results of operations.</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Lipid lowering therapies currently on the market that would compete with bempedoic acid and the bempedoic acid / ezetimibe combination tablet include the following: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Inexpensive generic versions of statins;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Inexpensive generic versions of ezetimibe, a cholesterol absorption inhibitor;</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Injectable PCSK9 inhibitors such as Praluent® (alirocumab) and Repatha® (evolocumab), marketed by Regeneron/Sanofi and Amgen Inc.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Bile acid sequestrants such as Welchol® (colesevelam), marketed by Daiichi Sankyo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MTP inhibitors, such as JUXTAPID® (lomitapide), marketed by Amryt Pharma Plc.;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 B Anti-Sense therapy, such as KYNAMRO® (mipomersen), marketed by Kastle Therapeutics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Inexpensive generic versions of combination tablet therapies, such as ezetimibe and simvastatin;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Triglyceride lowering therapy such as Vascepa® (icosapent ethyl), marketed by Amarin Corporation;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interfering RNA therapy, such as Leqvio® (inclisiran), marketed by Novartis; and</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lipid-lowering monotherapies (including cheaper generic versions), such as Tricor® (fenofibrate) and Niaspan® (niacin extended release), both of which are marketed by AbbVie, Inc.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Several other pharmaceutical companies have other LDL-C lowering therapies in development that may be approved for marketing in the U.S. or outside of the U.S.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have substantially greater financial, technical and human resources than we do and significantly greater experience discovering and developing drug candidates, obtaining FDA and other marketing approvals of products and commercializing those products. Accordingly, our competitors may be more successful than we may be in obtaining regulatory approval for drugs and achieving widespread market acceptance. Our competitors’ drugs may be more effective, or more effectively marketed and sold, than bempedoic acid or the bempedoic acid / ezetimibe combination tablet, and may render bempedoic acid or the bempedoic acid / ezetimibe combination tablet obsolete or non-competitive before we can recover the expenses of developing and commercializing it. The bempedoic acid and bempedoic acid / ezetimibe combination tablet may also compete with unapproved and off-label LDL-C lowering treatments, and following the expiration of additional patents covering the LDL-C lowering market, we may also face additional competition from the entry of new generic drugs. We anticipate that we will encounter intense and increasing competition as new drugs enter the market and advanced technologies become available.</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4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bempedoic acid or the bempedoic acid / ezetimibe combination tablet. In particular, a product may not be promoted for uses that are not approved by the FDA or other regulatory agencies as reflected in the product’s approved labeling. For instance, we received marketing approval for bempedoic acid and the bempedoic acid / ezetimibe combination tablet as an adjunct to diet and maximally tolerated statin therapy for the treatment of adults with HeFH or established ASCVD who require additional lowering of LDL-C, the first indication we pursued. Based on the results of the CLEAR Outcomes CVOT, we expect to</w:t>
      </w:r>
    </w:p>
    <w:p>
      <w:pPr>
        <w:spacing w:after="0" w:line="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seek a cardiovascular risk reduction indication in the U.S., Europe and other jurisdictions. Physicians may in their practice prescribe bempedoic acid and the bempedoic acid / ezetimibe combination tablet to their patients in a manner that is inconsistent with the approved label. If we are found to have promoted such off-label uses, we may become subject to public advisory or enforcement letters, reputational damage, and significant liability. The federal government has levied large civil and criminal fines against companies for alleged improper promotion under both the Federal Anti-kickback Statute and False Claims Act and has enjoined several companies from engaging in off-label promotion. The FDA has also requested that companies enter into consent decrees, corporate integrity agreements or permanent injunctions under which specified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promotional conduct is changed or curtailed. If we cannot successfully manage the promotion of bempedoic acid and the bempedoic acid / ezetimibe combination tablet across various promotional media and outreach activities to ensure it remains consistent with its approved labeling, we could become subject to significant liability, which would materially adversely affect our business and financial condition.</w:t>
      </w:r>
    </w:p>
    <w:p>
      <w:pPr>
        <w:spacing w:after="0" w:line="21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marketing approval for bempedoic acid and the bempedoic acid / ezetimibe combination tablet in the U.S. and Europe, we may never receive regulatory approval to market bempedoic acid or the bempedoic acid / ezetimibe combination tablet outside of the U.S. and Europe.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U.S. and Europe, we must establish and comply with the numerous and varying efficacy, safety and other regulatory requirements of the countries in which we intend to market our product. Approval procedures vary among countries and can involve additional product candidate testing and additional administrative review periods. The time required to obtain approvals in other countries might differ from that required to obtain FDA or EMA approval. The marketing approval processes in other countries may include all of the risks detailed above regarding FDA approval in the U.S. as well as other risks, or vice versa. In particular, in many countries outside of the U.S. and Europe,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commercialize bempedoic acid or the bempedoic acid / ezetimibe combination tablet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marketing approval for bempedoic acid and the bempedoic acid / ezetimibe combination tablet in the U.S. and Europe, they may not achieve broad market acceptance, which would limit the revenue that we generate from their sales.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commercial success of bempedoic acid or the bempedoic acid / ezetimibe combination tablet in the U.S. and Europe, and, if approved, by other regulatory authorities, in other countries in which we pursue regulatory approval, will depend upon the awareness and acceptance of bempedoic acid and the bempedoic acid / ezetimibe combination tablet among the medical community, including physicians, patients and healthcare payors. Market acceptance of bempedoic acid and the bempedoic acid / ezetimibe combination tablet will depend on a number of factors, including, among others:</w:t>
      </w:r>
    </w:p>
    <w:p>
      <w:pPr>
        <w:spacing w:after="0" w:line="166" w:lineRule="exact"/>
        <w:rPr>
          <w:sz w:val="20"/>
          <w:szCs w:val="20"/>
          <w:color w:val="auto"/>
        </w:rPr>
      </w:pPr>
    </w:p>
    <w:p>
      <w:pPr>
        <w:ind w:left="660" w:right="1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bempedoic acid and the bempedoic acid / ezetimibe combination tablet’s demonstrated ability to treat patients on maximally tolerated statin therapy for LDL-C lowering, or bempedoic acid and the bempedoic acid / ezetimibe combination tablet’s ability to achieve CV risk reduction, as compared with other available therapies;</w:t>
      </w:r>
    </w:p>
    <w:p>
      <w:pPr>
        <w:spacing w:after="0" w:line="2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bempedoic acid and the bempedoic acid / ezetimibe combination tablet, including as compared with other treatments for patients for LDL-C lowering or CV risk reduction;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such as muscle pain or weakness;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bempedoic acid or the bempedoic acid / ezetimibe combination tablet by the FDA;</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competitive therapies already approved for LDL-C lowering or CV risk reduction, including PCSK9 inhibitors, or expected to be commercially launched in the near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 Europe, DSE’s, and in Japan, Otsuka's, sales and marketing strategies, as well as the effectiveness of any other future collaborators;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bempedoic acid or the bempedoic acid / ezetimibe combination tablet through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bempedoic acid or the bempedoic acid / ezetimibe combination tablet does not achieve an adequate level of acceptance by patients, physicians and payors, we may not generate sufficient revenue from bempedoic acid and the bempedoic acid / ezetimibe combination tablet to become or remain profitable. Our efforts to educate the medical community and third-party payors about the benefits of bempedoic acid and the bempedoic acid / ezetimibe combination tablet may require significant resources and may never be successful.</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marketing approval for bempedoic acid and the bempedoic acid / ezetimibe combination tablet in the U.S. and Europe, physicians and patients using other LDL-C or CV risk lowering therapies may choose not to switch to our products.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Physicians are often reluctant to switch their patients from existing therapies even when new and potentially more effective, safe or convenient treatments enter the market. In addition, patients often acclimate to the brand or type of therapy that they are currently taking and do not want to switch unless their physicians recommend switching products or they are required to switch therapies due to lack of reimbursement for existing therapies. If physicians or patients are reluctant to switch from existing therapies to bempedoic acid and the bempedoic acid / ezetimibe combination tablet, our operating results and financial condition would be materially adversely affected.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clinical research organizations or other contractors or consultants, may fail or suffer security breaches, which could result in a material disruption of our bempedoic acid or the bempedoic acid / ezetimibe combination tablet commercialization and development programs.</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clinical research organizations and other contractors and consultants are vulnerable to damage from natural disasters, terrorism, war, telecommunication and electrical failures, and sophisticated cyber-attacks, including the theft and subsequent misuse of employee credentials, denial-of-service attacks, ransomware attacks, business email compromises, computer malware, viruses, and social engineering (including phishing). While we have not experienced any such system failure, accident, or security breach to date, if such an event were to occur and cause interruptions in our operations, it could result in a material disruption of our programs. For example, the loss of clinical study data for bempedoic acid or the bempedoic acid / ezetimibe combination tablet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our products and product candidates, or inappropriate disclosure of confidential or proprietary information, we could incur liabilities and the further development of bempedoic acid or the bempedoic acid / ezetimibe combination tablet could be delayed and the commercialization of our products could be impacted.</w:t>
      </w:r>
    </w:p>
    <w:p>
      <w:pPr>
        <w:spacing w:after="0" w:line="21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or physical facilities in which data is stored or through which data is transmitted,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1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studies,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drugs, clinical development programs, and the diseases our drugs and drug candidates are being developed to treat, and we are utilizing what we believe is appropriate social media in connection with our commercialization efforts for bempedoic acid and the bempedoic acid / ezetimibe combination tablet and we intend to do the same for our future products, if approved. Social media practices in the pharmaceutical industry continue to evolve and regulations relating to such use are not always clear. This evolution creates uncertainty and risk of noncompliance with regulations applicable to our business, resulting in potential regulatory actions against us. For example, there is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enacted tax legislation and other legislative, regulatory, and administrative developments to our business are uncertain. Increased costs related to such developments could adversely affect our financial condition and results of operations.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22, 2017, the TCJA was signed into law. The TCJA made major changes to the taxation of corporations, including reduction of the corporate tax rate from 35% to 21%, limitation of the tax deduction for interest expense to 30% of adjusted taxable income (except for certain small businesses), limitation of the deduction for net operating losses to 80% of annual taxable income and elimination of net operating loss carrybacks, elimination of U.S. tax on foreign earnings (subject to certain important exceptions), immediate deductions for certain new investments instead of deductions for depreciation expense over time, and modifying or repealing many business deductions and credits. The TCJA included a number of tax provisions that were subjected to sunset for tax years beginning after December 31, 2021. Companies are required to capitalize all domestic and foreign research and development</w:t>
      </w:r>
    </w:p>
    <w:p>
      <w:pPr>
        <w:spacing w:after="0" w:line="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expenditures (including software development costs), and amortize them over a 5 or 15 year period, respectfully. Additionally, taxpayers are no longer able to add back depreciation, amortization, and depletion into their computation of adjusted taxable income when calculating the limitation of deductible business interest expense.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third quarter of 2022, Pennsylvania House Bill 1342 was enacted, which in part phased in a corporate net income tax (CNIT) rate reduction over nine years. The CNIT rate for the 2022 tax year is 9.99%. The CNIT rate will be reduced to 8.99% for the 2023 tax year. Starting with the 2024 tax year, the rate is reduced by 0.5% annually until it reaches 4.99% for the 2031 tax year and each year thereafter. The company assessed the impact of the law change but do not expect that it will have a material impact on the financial statements.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August 16, 2022, H.R. 5376 (commonly called the Inflation Reduction Act of 2022) was signed into law, which, among other things, implemented a corporate alternative minimum tax (CAMT) of 15 percent on book income of certain large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corporations. The CAMT imposes a minimum tax on net income adjusted for certain items prescribed by the legislation and is effective for tax years beginning after December 31, 2022. The company does not anticipate being subjected to the new CAMT.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subject to limitation.</w:t>
      </w:r>
    </w:p>
    <w:p>
      <w:pPr>
        <w:spacing w:after="0" w:line="21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At December 31, 2022, we had United States federal net operating loss carryforwards of approximately $950.8 million and state net operating loss carryforwards of approximately $698.4 million. Under Sections 382 and 383 of the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As a result of prior equity issuances and other transactions in our stock, we have previously experienced “ownership changes” under section 382 of the Code and comparable state tax laws in those years. Some of the U.S. Federal and State net operating loss and credit carryforwards</w:t>
      </w:r>
    </w:p>
    <w:p>
      <w:pPr>
        <w:ind w:right="160"/>
        <w:spacing w:after="0" w:line="241" w:lineRule="auto"/>
        <w:rPr>
          <w:sz w:val="20"/>
          <w:szCs w:val="20"/>
          <w:color w:val="auto"/>
        </w:rPr>
      </w:pPr>
      <w:r>
        <w:rPr>
          <w:rFonts w:ascii="Times New Roman" w:cs="Times New Roman" w:eastAsia="Times New Roman" w:hAnsi="Times New Roman"/>
          <w:sz w:val="18"/>
          <w:szCs w:val="18"/>
          <w:color w:val="auto"/>
        </w:rPr>
        <w:t>are subject to annual limitations due to ownership changes. The annual limitation may result in the expiration of net operating losses or credit carryforwards before utilization. As of result of stock transactions, we expect the Company experienced an ownership change in 2021. We may also experience ownership changes in the future as a result of future transactions in our stock. As a result, if we earn net taxable income, our ability to use our pre-change net operating loss carryforwards or other pre-change tax attributes to offset United States federal and state taxable income is subject to further limitations.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or global health crises and our business continuity and disaster recovery plans may not adequately protect us from a serious disaster.</w:t>
      </w:r>
    </w:p>
    <w:p>
      <w:pPr>
        <w:spacing w:after="0" w:line="15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Natural disasters or global health crises, including the ongoing COVID-19 pandemic, could severely disrupt our operations, and have a material adverse effect on our business, results of operations, financial condition, and prospects. If a natural disaster, global health crisis, power outage, or other event occurred that prevented us from using all or a significant portion of our headquarters, that damaged critical infrastructure, such as the manufacturing facilities of our third-party contract manufacturers, or that otherwise disrupted our operations or the operations of our vendors, it may be difficult or, in certain cases, impossible for us to continue our business for a substantial period of time. The disaster recovery and business continuity plans we have in place may prove inadequate in the event of a serious disaster, health crisis, or similar event. We may incur substantial expenses as a result of the limited nature of our disaster recovery and business continuity plans, which, could have a material adverse effect on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Review, and Approval of Our Drugs and Future Drug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completion of any of our future clinical trials could result in increased costs to us and could delay, prevent or limit our ability to generate revenue and continue our business.</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December 2022, we announced completion of the CLEAR Outcomes CVOT. In the future, we may conduct additional clinical studies of bempedoic acid and the bempedoic acid / ezetimibe combination tablet, as well as clinical studies of additional product candidates we may develop. The conduct and completion of any of our future clinical studies can be delayed or prevented for a number of reasons, including, among others:</w:t>
      </w:r>
    </w:p>
    <w:p>
      <w:pPr>
        <w:spacing w:after="0" w:line="2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authority may not agree to the study design or overall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any other regulatory authority may place a clinical study on hold;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study sites, the terms of which can be subject to extensive negotiation and may vary significantly among different CROs and study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a product candidate or other materials necessary to conduct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obtaining institutional review board, or IRB, approval to conduct a clinical study at a prospective site or sites;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study, including instances of muscle pain or weakness or other side effects;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preclinical or clinical testing of other cardiometabolic therapies that raise safety or efficacy concerns; and</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study but may be prone to withdraw due to rigors of the study, lack of efficacy, side effects, personal issues or loss of interest.</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Clinical studies may also be delayed or terminated as a result of ambiguous or negative interim results. In addition, a clinical study may be suspended or terminated by us, the FDA, the EMA, the IRBs at the sites where the IRBs are overseeing a clinical study, a data safety monitoring committee, or DMC, overseeing the clinical study at issue or any other regulatory authorities due to a number of factors, including, among others: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our clinical protocols;</w:t>
      </w:r>
    </w:p>
    <w:p>
      <w:pPr>
        <w:spacing w:after="0" w:line="225"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EMA or any other regulatory authorities that reveals deficiencies or violations that require us to undertake corrective action, including the imposition of a clinical hold;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study.</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completed Phase 1, Phase 2 and Phase 3 clinical studies of bempedoic acid and the bempedoic acid / ezetimibe combination tablet are not necessarily predictive of the full results of our CLEAR Outcomes CVOT of bempedoic acid or any other of our future clinical studies, nor do they guarantee approval of bempedoic acid and the bempedoic acid / ezetimibe combination tablet by the FDA, EMA or any other regulatory agency for additional indications such as a CVD risk reduction indication. Although we have announced positive topline results from our CLEAR Outcomes CVOT, we may be unable to successfully obtain regulatory approval for and commercialize bempedoic acid and the bempedoic acid / ezetimibe combination tablet for additional indications.</w:t>
      </w:r>
    </w:p>
    <w:p>
      <w:pPr>
        <w:spacing w:after="0" w:line="17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There is a high failure rate for drugs proceeding through clinical studies. The positive results from our completed Phase 1, Phase 2 and Phase 3 clinical studies of bempedoic acid and our Phase 3 1002FDC-053 clinical study of the bempedoic acid / ezetimibe combination tablet may not be replicated in our CLEAR Outcomes CVOT or any future studies of bempedoic acid and the bempedoic acid / ezetimibe combination tablet, nor do the positive topline results we announced from our CLEAR Outcomes CVOT in December 2022 guarantee approval of bempedoic acid and the bempedoic acid / ezetimibe combination tablet by the FDA for additional indications such as a CVD risk reduction indication, or by the EMA or any other regulatory authorities for any future indications in a timely manner or at all. Many companies in the pharmaceutical and biotechnology industries have suffered significant setbacks in late-stage clinical studies after achieving positive results earlier in development, and we cannot be certain that we will not face similar setbacks. These setbacks have been caused by, among other things, preclinical findings made while clinical studies were underway or safety or efficacy observations made in clinical studies, including previously unreported adverse events. In addition, regulatory delays or rejections may be encountered as a result of many factors, including changes in regulatory policy during the period of product development. If we fail to obtain positive results in any future clinical studies, the regulatory status of our product candidates or future product candidates, and correspondingly, our business and financial prospects, may be materially adversely affected.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products (or any other similar products) after such approval, a number of potentially significant negative consequences could result, including:</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products are distributed or administered, conduct additional clinical trials or change the labeling of the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remove such products from the marketplace;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 product candidates; and our reputation may suffer.</w:t>
      </w:r>
    </w:p>
    <w:p>
      <w:pPr>
        <w:spacing w:after="0" w:line="18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believe that any of these events could prevent us from achieving or maintaining market acceptance of the affected products, and could substantially increase the costs of commercializing our products and significantly impact our ability to successfully commercialize our products and generate revenues.</w:t>
      </w:r>
    </w:p>
    <w:p>
      <w:pPr>
        <w:spacing w:after="0" w:line="136" w:lineRule="exact"/>
        <w:rPr>
          <w:sz w:val="20"/>
          <w:szCs w:val="20"/>
          <w:color w:val="auto"/>
        </w:rPr>
      </w:pPr>
    </w:p>
    <w:p>
      <w:pPr>
        <w:ind w:right="6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regulatory requirements, FDA or EMA guidance or unanticipated events may occur, which may result in changes to clinical study protocols or additional clinical study requirements, which could result in increased costs to us and could delay our development timeline.</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FDA or EMA guidance or unanticipated events during our clinical studies may force us to amend clinical study protocols or the FDA or EMA may impose additional clinical study requirements. Significant amendments to our clinical study protocols may require resubmission to the FDA and/or IRBs for review and approval, which may adversely impact the cost, timing and/or successful completion of these studies. If we are required to conduct clinical studies in addition to our CVOT to support a CV risk reduction indication, the commercial prospects for bempedoic acid and the bempedoic acid / ezetimibe combination tablet may be harmed and our ability to generate product revenue will be impaired. Even though we have completed our CVOT, we may not ultimately be able to demonstrate sufficient clinical benefits from bempedoic acid or the bempedoic acid / ezetimibe combination tablet, and our failure to do so may delay or hinder our ability to obtain FDA or EMA approval for a CV risk reduction indication.</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product development programs for candidates other than bempedoic acid or the bempedoic acid / ezetimibe combination tablet may require substantial financial resources and may ultimately be unsuccessful.</w:t>
      </w:r>
    </w:p>
    <w:p>
      <w:pPr>
        <w:spacing w:after="0" w:line="14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addition to the development of bempedoic acid and the bempedoic acid / ezetimibe combination tablet, we may pursue the development of other early-stage programs, such as our program to develop an oral small molecule PCSK9 inhibitor and our next generation ACL inhibitor. If we conduct any clinical studies for our future product candidates, there will be a number of FDA requirements that we must satisfy before we can commence such clinical studies. Satisfaction of these requirements will entail substantial time, effort and financial resources. We may never satisfy these requirements. Any time, effort and financial resources we expend on any early-stage development programs that we may pursue may adversely affect our ability to continue development and commercialization of bempedoic acid and the bempedoic acid / ezetimibe combination tablet, and we may never commence clinical studies of such development programs despite expending significant resources in pursuit of their development. If we do commence clinical studies of our other potential product candidates, such product candidates may never be approved by the FDA.</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use of bempedoic acid and the bempedoic acid / ezetimibe combination tablet in clinical studies and the sale of bempedoic acid and the bempedoic acid / ezetimibe combination tablet exposes us to the risk of product liability claims. Product liability claims might be brought against us by patients, healthcare providers or others selling or otherwise coming into contact with bempedoic acid or the bempedoic acid / ezetimibe combination tablet.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bempedoic acid or the bempedoic acid / ezetimibe combination tablet or any future product candidates following marketing approval, if obtained;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bempedoic acid or the bempedoic acid / ezetimibe combination tablet or any future product candidates, if approved.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studies with a $10.0 million annual aggregate coverage limit, in addition to insurance coverage in specific local jurisdictions.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We expanded our insurance coverage to include the sale of commercial products.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For example, a purported securities class action lawsuit was filed in January 2016 naming us and certain of our officers as defendants.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during the three months ended March 31, 2021, the Company recorded a loss on settlement of $13.25 million in selling, general, and administrative expenses on the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statements of operations and comprehensive loss, which represents the litigation settlement of $18.25 million offset by $5.0 million in insurance claim proceeds from our insurance carriers.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 In addition, defending claims is costly and can impose a significant burden on our management. Any proceeding in which we are or may become involved could result in substantial costs and a diversion of management's attention and resources, which could harm our business.</w:t>
      </w:r>
    </w:p>
    <w:p>
      <w:pPr>
        <w:spacing w:after="0" w:line="179"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bempedoic acid and the bempedoic acid / ezetimibe combination tablet.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bempedoic acid or the bempedoic acid / ezetimibe combination tablet or the use of our technologies infringe patent claims or other intellectual property rights held by them or that we are employing their proprietary technology without authorization. For example, we are aware of U.S. patents relating to compositions containing ezetimibe. Although we believe that our bempedoic acid / ezetimibe combination tablet would not infringe a claim of such patents, the owner of such patents may disagree and initiate a patent infringement action against us.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bempedoic acid or the bempedoic acid / ezetimibe combination tablet.</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bempedoic acid or the bempedoic acid / ezetimibe combination tablet;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or rename in the case of trademark claims, bempedoic acid or the bempedoic acid / ezetimibe combination tablet to avoid infringing the intellectual property rights of third parties, which may not be possible and, even if possible, could be costly and time-consuming.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bempedoic acid or the bempedoic acid / ezetimibe combination tablet, which would materially adversely affect our commercial development efforts.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Capital Needs and Ownership of Our Stock</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were incorporated in January 2008. Our operations to date have included organizing and staffing our company, conducting research and development activities for bempedoic acid and the bempedoic acid / ezetimibe combination tablet, as well as commercializing these products. Since the launch of our products, we have generated $108.9 million in revenue from product sales in the U.S. We have obtained regulatory approval for both products from the FDA in the U.S., the EC in Europe and Swissmedic in Switzerland, but have not received approval for bempedoic acid and the bempedoic acid / ezetimibe combination tablet from any other regulatory agency. As such, we are subject to all the risks incident to the development, regulatory approval and commercialization of new pharmaceutical products and we may encounter unforeseen expenses, difficulties, complications, delays and other unknown factors.</w:t>
      </w:r>
    </w:p>
    <w:p>
      <w:pPr>
        <w:spacing w:after="0" w:line="1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Since our inception, we have focused substantially all of our efforts and financial resources on developing bempedoic acid. We have funded our operations to date primarily through proceeds from sales of preferred stock, public offerings of common stock and warrants, convertible promissory notes and warrants, the incurrence of indebtedness, milestone payments from collaboration agreements and revenue interest purchase agreements, and we have incurred losses in each year since our inception. Our net losses were $233.7 million and $269.1 million for the years ended December 31, 2022 and 2021, respectively. As of December 31, 2022, we had an accumulated deficit of $1.3 billion. Substantially all of our operating losses resulted from costs incurred in connection with our development program and from selling, general and administrative costs associated with our operations. We will continue to manage our spending for clinical trials, marketing approvals, and commercialization, and we may attempt to secure additional cash resources or reduce spend in certain areas as needed to continue commercialization and further development of bempedoic acid and the bempedoic acid / ezetimibe combination tablet.</w:t>
      </w:r>
    </w:p>
    <w:p>
      <w:pPr>
        <w:spacing w:after="0" w:line="1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prior losses, combined with expected future losses, have had and will continue to have an adverse effect on our stockholders’ equity and working capital. We expect to continue to incur significant expenses and increasing operating losses for the foreseeable future related to our research and development and commercialization activities, as well as other related personnel and activities. Our research and development expenses are expected to be reduced in the foreseeable future after we report the full results of the CLEAR Outcomes CVOT. We expect to continue to incur research and development expenses related to costs associated with obtaining CV risk reduction indications and as they relate to any other early-stage development programs or additional indications we choose to pursue. We also expect to incur significant sales, marketing and outsourced manufacturing expenses and expect further significant general and administration expenses in connection with the commercialization of bempedoic acid and the bempedoic acid / ezetimibe combination tablet, respectively. Even though bempedoic acid and the bempedoic acid / ezetimibe combination tablet are approved in the U.S. and Europe for commercial sale, and despite expending these costs, bempedoic acid or the bempedoic acid / ezetimibe combination tablet may not be commercially successful drugs. As a public company,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capital in the future. If additional capital is not available, we will have to delay, reduce or cease operations.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February 2020 we announced that the FDA approved NEXLETOL and NEXLIZET. In April 2020, we announced that the EC approved NILEMDO and NUSTENDI.</w:t>
      </w:r>
    </w:p>
    <w:p>
      <w:pPr>
        <w:spacing w:after="0" w:line="162"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We expect that our continued commercialization efforts and any additional clinical studies that we undertake for the further clinical development of bempedoic acid and the bempedoic acid / ezetimibe combination tablet or any other product candidate we pursue will consume substantial additional financial resources. We expect that our existing cash and cash equivalents and proceeds to be received in the future for product sales and under our collaboration agreements are sufficient to fund operations for the foreseeable future. We may look to secure additional cash resources should positive corporate events or milestones provide sufficient opportunities. We may, however, need to secure additional cash resources to continue to fund the commercialization and further clinical development of bempedoic acid and the bempedoic acid / ezetimibe combination tablet. Our future capital requirements may be substantial and will depend on many factors including:</w:t>
      </w:r>
    </w:p>
    <w:p>
      <w:pPr>
        <w:spacing w:after="0" w:line="175" w:lineRule="exact"/>
        <w:rPr>
          <w:sz w:val="20"/>
          <w:szCs w:val="20"/>
          <w:color w:val="auto"/>
        </w:rPr>
      </w:pPr>
    </w:p>
    <w:p>
      <w:pPr>
        <w:ind w:left="660" w:right="3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 CV risk reduction indication for bempedoic acid and the bempedoic acid / ezetimibe combination tablet in the U.S. and Europe;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sales, and our ability to secure and maintain reimbursement coverage, in the United States, and in Europe;</w:t>
      </w:r>
    </w:p>
    <w:p>
      <w:pPr>
        <w:spacing w:after="0" w:line="225"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bempedoic acid and the bempedoic acid / ezetimibe combination tablet or any future product candidates if we receive marketing approval, including the cost and timing of developing sales and marketing capabilities or entering into strategic collaborations to market and sell bempedoic acid and the bempedoic acid / ezetimibe combination tablet or any future product candidates;</w:t>
      </w:r>
    </w:p>
    <w:p>
      <w:pPr>
        <w:spacing w:after="0" w:line="157" w:lineRule="exact"/>
        <w:rPr>
          <w:rFonts w:ascii="Times New Roman" w:cs="Times New Roman" w:eastAsia="Times New Roman" w:hAnsi="Times New Roman"/>
          <w:sz w:val="17"/>
          <w:szCs w:val="17"/>
          <w:color w:val="auto"/>
        </w:rPr>
      </w:pPr>
    </w:p>
    <w:p>
      <w:pPr>
        <w:ind w:left="660" w:right="4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 DS, and Otsuka's ability to successfully commercialize bempedoic acid and the bempedoic acid / ezetimibe combination tablet in their respective territories;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milestone payments from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bempedoic acid and the bempedoic acid / ezetimibe combination tablet or any future product candidates and any products we successfully commercialize;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general corporate activities, such as the cost of filing, prosecuting and enforcing patent claims.</w:t>
      </w:r>
    </w:p>
    <w:p>
      <w:pPr>
        <w:spacing w:after="0" w:line="2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Changing circumstances may cause us to consume capital significantly faster than we currently anticipate. Because the outcome of any clinical study is highly uncertain, we cannot reasonably estimate the actual amounts necessary to successfully complete the development, regulatory approval and commercialization of bempedoic acid and the bempedoic acid / ezetimibe combination tablet and any future product candidates. Additional financing may not be available when we need it or may not be available on terms that are favorable to us. In addition, we may seek additional capital due to favorable market conditions or strategic considerations, even if we believe we have sufficient funds for our current or future operating plans. If adequate funds are unavailable to us on a timely basis, or at all, we may not be able to continue the development of bempedoic acid and the bempedoic acid / ezetimibe combination tablet or any future product candidate, or to commercialize bempedoic acid and the bempedoic acid / ezetimibe combination tablet or any future product candidate, if approved.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establish successful collaborations, we may have to alter our development and commercialization plans for bempedoic acid and the bempedoic acid / ezetimibe combination tablet.</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drug development programs and commercialization plans for bempedoic acid and the bempedoic acid / ezetimibe combination tablet will require substantial additional cash to fund expenses. We developed and commercialized bempedoic acid and the bempedoic acid / ezetimibe combination tablet in the United States without a partner. However, in order to pursue the broader cholesterol modifying market in the United States, we may also enter into a partnership or co-promotion arrangement with an established pharmaceutical company that has a larger sales force. We are continuing to establish our commercialization and distribution capabilities to support the sales, marketing and distribution of our pharmaceutical products, including through our arrangements with DSE, DS and Otsuka. In order to market bempedoic acid and the bempedoic acid / ezetimibe combination tablet in the U.S. and, if approved by any other regulatory body, we must continue to manage our sales, marketing, managerial, and other non-technical capabilities or make arrangements with third parties to perform these services.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face significant competition in seeking appropriate collaborators and these collaboration agreements are complex and time-consuming to negotiate. We may not be able to negotiate collaborations on acceptable terms, or at all. If that were to occur, we may have to curtail the development or delay commercialization of bempedoic acid or the bempedoic acid / ezetimibe combination tablet in certain geographies, reduce the scope of our sales or marketing activities, reduce the scope of our commercialization plans, or increase our expenditures and undertake development or commercialization activities at our own expense. If we elect to increase our expenditures to fund development or commercialization activities outside of the United States, the DSE Territory, the DS Territory and Japan on our own, we may need to obtain additional capital, which may not be available to us on acceptable terms, or at all.</w:t>
      </w:r>
    </w:p>
    <w:p>
      <w:pPr>
        <w:spacing w:after="0" w:line="1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under the Revenue Interest Purchase Agreement with Oberland may adversely affect our financial position or results of operations and our ability to raise additional capital which in turn may increase our vulnerability to adverse regulatory developments or economic or business downturns.</w:t>
      </w:r>
    </w:p>
    <w:p>
      <w:pPr>
        <w:spacing w:after="0" w:line="175" w:lineRule="exact"/>
        <w:rPr>
          <w:sz w:val="20"/>
          <w:szCs w:val="20"/>
          <w:color w:val="auto"/>
        </w:rPr>
      </w:pPr>
    </w:p>
    <w:p>
      <w:pPr>
        <w:ind w:right="100"/>
        <w:spacing w:after="0" w:line="222" w:lineRule="exact"/>
        <w:rPr>
          <w:sz w:val="20"/>
          <w:szCs w:val="20"/>
          <w:color w:val="auto"/>
        </w:rPr>
      </w:pPr>
      <w:r>
        <w:rPr>
          <w:rFonts w:ascii="Times New Roman" w:cs="Times New Roman" w:eastAsia="Times New Roman" w:hAnsi="Times New Roman"/>
          <w:sz w:val="18"/>
          <w:szCs w:val="18"/>
          <w:color w:val="auto"/>
        </w:rPr>
        <w:t>On June 26, 2019, we entered into the RIPA with Oberland and the Purchasers named therein. Pursuant to the RIPA, Oberland paid us $125.0 million on closing, less certain transaction expenses, and, Oberland paid us an additional $25.0 million in March 2020 upon receiving regulatory approval of NEXLETOL. Pursuant to the RIPA Amendment, we received the final $50.0 million in April 2021. As consideration for the payments, Oberland has the right to receive certain revenue interests from us based on the net sales of certain products, once approved, which will be tiered payments initially ranging from 3.33% to 10% of our net sales in the covered territory. See in Note 10 "Liability Related to the Revenue Interest Purchase Agreement" in the notes to our financial statements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further discussion on the RIPA.</w:t>
      </w:r>
    </w:p>
    <w:p>
      <w:pPr>
        <w:spacing w:after="0" w:line="16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RIPA and the revenue interest stream payable to Oberland could have important negative consequences to the holders of our securities. For example, a portion of our cash flow from operations will be needed to pay certain revenue interests to Oberland and will not be available to fund future operations. Further, as we failed to achieve the Specified Net Revenue thresholds for the quarter ended September 30, 2021, we deposited $50 million into the Blocked Account, which reduced our unrestricted cash. On November 23, 2022, we entered into Amendment #3 to the RIPA and agreed to make a one-time partial call payment with regards to the Revenue Interests (as defined in the RIPA) in an amount equal to $50 million paid from the Blocked Account.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certain amounts to Oberland when due would result in a default under the RIPA and result in foreclosure on certain of our assets which would have a material adverse effect.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RIPA contains customary affirmative and negative non-financial covenants and events of default, including, covenants and restrictions that among other things, grant a senior security interest in our assets and restrict our ability to incur liens, incur additional indebtedness, make loans and investments, engage in mergers and acquisitions, and engage in asset sales. Additionally, the Purchasers under the RIPA have an option (the “Put Option”) to terminate the RIPA and to require the Company to repurchase future Revenue Interests upon enumerated events such as a bankruptcy event, an uncured material breach, a material adverse effect (which can include adverse developments related to the regulatory approval of our product candidates) or a change of control. The triggering of the Put Option, including by our failure to comply with these covenants, could permit the Purchasers to declare certain amounts to be immediately due and payable. If we default under the terms of the RIPA, including by failure to make such accelerated payments, the Purchasers take control of our pledged assets. Further, if we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are liquidated, the Purchasers’ right to repayment would be senior to the rights of the holders of our common stock. Any triggering of the Put Option or other declaration by the Purchasers of an event of default under the RIPA could significantly harm our financial condition, business and prospects and could cause the price of our common stock to decline.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We may not have sufficient cash flow from our business to pay our indebtedness.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2020, we completed a private offering of Notes, issuing an aggregate principal amount of $280.0 million of 4.00% convertible senior subordinated notes due 2025. The interest rate is fixed at 4.00% per annum and is payable semi-annually in arrears on May 15 and November 15 of each year, beginning on May 15, 2021. In October 2021, we announced that we had negotiated an exchange agreement with two co-managed holders of the notes to exchange with the Company $15.0 million aggregate principal amount of Notes held in the aggregate by them (and accrued interest thereon) for shares of the Company’s common stock, par value $0.001 per share. Our ability to make scheduled payments of the principal of, to pay interest on or to refinance our indebtedness, including the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3"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for cash settlement upon conversion of the Notes or to repurchase the Notes for cash upon a fundamental change, and our future debt may contain limitations on our ability to pay cash upon conversion of the Notes or to repurchase the Notes.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such notes or to pay any cash payable on future conversions of the Notes as required by such indenture would constitute a default under such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indebtedness, combined with our other financial obligations and contractual commitments, could have other important consequences. For example, it could:</w:t>
      </w:r>
    </w:p>
    <w:p>
      <w:pPr>
        <w:spacing w:after="0" w:line="202" w:lineRule="exact"/>
        <w:rPr>
          <w:sz w:val="20"/>
          <w:szCs w:val="20"/>
          <w:color w:val="auto"/>
        </w:rPr>
      </w:pPr>
    </w:p>
    <w:p>
      <w:pPr>
        <w:ind w:left="660" w:right="18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place us at a disadvantage compared to our competitors who have less debt;</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Notes may affect the value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Notes would dilute the ownership interests of existing stockholders to the extent we satisfy our conversion obligation by delivering shares of our common stock upon any conversion of such Notes. Our Notes may become in the future convertible at the option of their holders under certain circumstances. If holders of our Notes elect to convert their notes, we may settle our conversion obligation by delivering to them a significant number of shares of our common stock, which would cause dilution to our existing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issuance of the Notes, we entered into the Capped Calls with certain financial institutions, or the Option Counterparties. The Capped Calls are generally expected to reduce potential dilution to our common stock upon any conversion or settlement of the Notes and/or offset any cash payments we are required to make in excess of the principal amount of converted Notes, with such reduction and/or offset subject to a cap.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Calls, the Option Counterparties or their respective affiliates entered into various derivative transactions with respect to our common stock and/or purchased shares of our common stock concurrently with or shortly after the pricing of the Notes.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(and are likely to do so following any conversion of the Notes, any repurchase of the Notes by us on any fundamental change repurchase date, any redemption date, or any other date on which the Notes are retired by us, in each case, if we exercise our option to terminate the relevant portion of the Capped Calls). This activity could cause a decrease and/or increased volatility in the market price of our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Notes or our common stock. In addition, we do not make any representation that the Option Counterparties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seek additional cash resources through a combination of collaborations with third parties, strategic alliances, licensing arrangements, permitted debt financings, permitted royalty-based financings, private and public equity offerings or through other sources.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and permitted under the terms of our RIPA, would increase our fixed payment obligations. Debt or royalty-based financings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such as the collaboration arrangements with DSE, Otsuka and DS and the RIPA with Oberland, we may have to relinquish valuable rights to bempedoic acid or the bempedoic acid / ezetimibe combination tablet, our intellectual property, future revenue streams or grant licenses on terms that are not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exert significant influence over matters subject to stockholder approval.</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 December 31, 2022, our executive officers, directors, combined with our stockholders who own more than 5% of our outstanding capital stock, and entities affiliated with certain of our directors beneficially owned approximately 67% of our outstanding voting common stock. These stockholders have the ability to influence us through their ownership position. These stockholders may be able to determine the outcome of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5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investment in shares of our common stock will depend upon any future appreciation in their value. There is no guarantee that shares of our common stock will appreciate in value or even maintain the price at which you purchased them.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2022, our patent estate, including patents we own, on a worldwide basis, included approximately 26 issued United States patents and 16 pending United States patent applications and over 25 issued patents and over 130 pending patent applications in other foreign jurisdictions. Of our worldwide patent estate, only a subset of our patents and pending patent applications relates to our bempedoic acid program.</w:t>
      </w:r>
    </w:p>
    <w:p>
      <w:pPr>
        <w:spacing w:after="0" w:line="16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Bempedoic acid is claimed in U.S. Patent No. 7,335,799 that is scheduled to expire in December 2025, which includes 711 days of patent term adjustment, and may be eligible for a patent term extension period of up to five years. We have requested a five year patent term extension of U.S. Patent No. 7,335,799, and we believe that this patent could also be the subject of an additional six month pediatric exclusivity period. In addition, U.S. Patent Nos. 9,000,041, 8,497,301, 9,624,152, 10,118,881 and 10,941,095, which are scheduled to expire in December 2023, claim methods of using bempedoic acid. There are currently seven issued patents in countries outside the United States, including, Brazil, Canada, Europe, Japan and Mexico, that relate to bempedoic acid and its use. Furthermore, of the seven granted patents, we have two granted European patents that have been validated in numerous European countries including France, Germany, Great Britain, Ireland, Italy, the Netherlands, Spain, Sweden and Switzerland. We are seeking five year patent term extensions via supplementary protection certificates for 24 national patents validated from one of the granted European patents, which, if approved, could extend our patent protection in those countries until 2028. Additionally, we have one patent family that includes U.S. Patent No. 11,407,705, directed to the method of manufacturing high purity bempedoic acid, one pending U.S. patent application directed to the same, two pending U.S. patent applications directed to compositions of matter of high purity bempedoic acid, and 25 pending patent applications outside of the United States. U.S. Patent No. 11,407,705 and the other patent family members, if issued, are scheduled to expire in June 2040.</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we have three patent families in which we are pursuing patent protection for our bempedoic acid and bempedoic acid / ezetimibe combination tablet in combination with one or more statins. Methods of treating familial hypercholesterolemia with the bempedoic acid / ezetimibe combination tablet</w:t>
      </w:r>
    </w:p>
    <w:p>
      <w:pPr>
        <w:ind w:right="40"/>
        <w:spacing w:after="0" w:line="241" w:lineRule="auto"/>
        <w:rPr>
          <w:sz w:val="20"/>
          <w:szCs w:val="20"/>
          <w:color w:val="auto"/>
        </w:rPr>
      </w:pPr>
      <w:r>
        <w:rPr>
          <w:rFonts w:ascii="Times New Roman" w:cs="Times New Roman" w:eastAsia="Times New Roman" w:hAnsi="Times New Roman"/>
          <w:sz w:val="18"/>
          <w:szCs w:val="18"/>
          <w:color w:val="auto"/>
        </w:rPr>
        <w:t>are claimed in U.S. Patent No. 10,912,751 that is scheduled to expire in March 2036. We also have one pending U.S. patent application and 7 issued patents and 17 pending applications outside the U.S. with claims directed to methods of treatment using the bempedoic acid / ezetimibe combination tablet. Additionally, we have one pending U.S. patent application and 25 pending applications outside the U.S. directed to the manufacturing of our bempedoic acid / ezetimibe combination tablet. We also have one issued U.S. patent, one pending U.S. patent application, and six issued patents and 21 pending applications outside the U.S., with claims directed to fixed dose combinations of bempedoic acid and one or more statins and/or methods of using said fixed dose combinations.</w:t>
      </w:r>
    </w:p>
    <w:p>
      <w:pPr>
        <w:spacing w:after="0" w:line="2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17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cannot assure you that any of our patents have, or that any of our pending patent applications will mature into issued patents that will include, claims with a scope sufficient to protect bempedoic acid or the bempedoic acid / ezetimibe combination tablet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is scheduled to come into force during 2023. The UPC will be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spacing w:after="0" w:line="2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We have submitted a request for a patent term extension in the United States for U.S. Patent No. 7,335,799 and have been seeking supplementary protection certificates for one of the granted, counterpart European patents. In the United States, the Drug Price Competition and Patent Term Restoration Act of 1984 permits a patent term extension of up to five years beyond the normal expiration of the patent, but the total patent term including the restoration period must not exceed 14 years following FDA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it is possible that, in February 2024, one or more of our competitors may file with the FDA, an ANDA for a generic version of, or an 505(b)</w:t>
      </w:r>
    </w:p>
    <w:p>
      <w:pPr>
        <w:spacing w:after="0" w:line="16" w:lineRule="exact"/>
        <w:rPr>
          <w:sz w:val="20"/>
          <w:szCs w:val="20"/>
          <w:color w:val="auto"/>
        </w:rPr>
      </w:pPr>
    </w:p>
    <w:p>
      <w:pPr>
        <w:ind w:right="20" w:firstLine="8"/>
        <w:spacing w:after="0" w:line="242"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 w:cs="Times New Roman" w:eastAsia="Times New Roman" w:hAnsi="Times New Roman"/>
          <w:sz w:val="18"/>
          <w:szCs w:val="18"/>
          <w:i w:val="1"/>
          <w:iCs w:val="1"/>
          <w:color w:val="auto"/>
        </w:rPr>
        <w:t>If the FDA, EMA or other comparable foreign regulatory authorities approve generic or other versions of bempedoic acid or the bempedoic acid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ezetimibe combination tablet, the sales of our approved products could be adversely affected.”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right="3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and patent term sufficient to protect bempedoic acid or the bempedoic acid / ezetimibe combination tablet;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bempedoic acid or the bempedoic acid / ezetimibe combination tablet in all of the jurisdictions we intend to pursue before our relevant patents expire;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valid and enforceable;</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or those of our licensors, will not infringe upon the patents of others.</w:t>
      </w:r>
    </w:p>
    <w:p>
      <w:pPr>
        <w:spacing w:after="0" w:line="25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contract manufacturers, vendors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we cannot guarantee that we have executed these agreements with each party that may have or have had access to our trade secrets.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because we acquired certain rights from Pfizer, we must rely on Pfizer’s practices, and those of its predecessors, with regard to parties that may have had access to our trade secrets related thereto before our incorporation. Any party with whom we or they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disclose such trade secrets, from using that technology or information to compete with us. If any of our trade secrets were to be disclosed, either intentionally or unintentionally, to or independently developed by a competitor or other third-party, our competitive position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United States has enacted the America Invents Act of 2011, which is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dependent on licensed intellectual property. If we were to lose our rights to licensed intellectual property, we may not be able to continue developing or commercializing bempedoic acid or the bempedoic acid / ezetimibe combination tablet or other product candidates, if approved.</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future, we may enter into license(s) to third-party intellectual property that are necessary or useful to our business. Such license agreement(s) will likely impose various obligations upon us, and our licensor(s) may have the right to terminate the license thereunder in the event of a material breach or, in some cases, at will. Future licensor(s) may allege that we have breached our license agreement with them and accordingly seek to terminate our license or decide to terminate our license at will. If successful, this could result in our loss of the right to use the licensed intellectual property, which could materially adversely affect our ability to develop and commercialize our products and product candidates as well as harm our competitive business position and our business prospects.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products and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with us.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emerging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successful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January 2019, we entered into a license and collaboration agreement with DSE, pursuant to which DSE will be responsible for the commercialization of bempedoic acid and the bempedoic acid / ezetimibe combination tablet in the DSE Territory. In April 2020, we entered into a license and collaboration agreement with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DS, pursuant to which DS will be responsible for the commercialization of bempedoic acid and the bempedoic 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products, and on our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future collaboration partners may fail to develop or effectively commercialize products using our products or technologies because they:</w:t>
      </w:r>
    </w:p>
    <w:p>
      <w:pPr>
        <w:spacing w:after="0" w:line="180" w:lineRule="exact"/>
        <w:rPr>
          <w:sz w:val="20"/>
          <w:szCs w:val="20"/>
          <w:color w:val="auto"/>
        </w:rPr>
      </w:pPr>
    </w:p>
    <w:p>
      <w:pPr>
        <w:ind w:left="660" w:right="4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17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61" w:lineRule="exact"/>
        <w:rPr>
          <w:rFonts w:ascii="Times New Roman" w:cs="Times New Roman" w:eastAsia="Times New Roman" w:hAnsi="Times New Roman"/>
          <w:sz w:val="18"/>
          <w:szCs w:val="18"/>
          <w:color w:val="auto"/>
        </w:rPr>
      </w:pPr>
    </w:p>
    <w:p>
      <w:pPr>
        <w:ind w:left="660" w:right="14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sufficient resources necessary to carry the product candidate through clinical development, marketing approval and commercialization;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marketing approvals.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unable to directly control all aspects of our clinical studies due to our reliance on CROs and other third parties that assist us in conducting clinical studies.</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relied on CROs in our prior clinical studies, including our global pivotal Phase 3 clinical studies and our pivotal Phase 3 1002FDC-053 clinical study and the CLEAR Outcomes CVOT, as well as any future clinical studies we may undertake. As a result, we will have less direct control over the conduct, timing and completion of these clinical studies and the management of data developed through the clinical studies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studies and may subject us to unexpected cost increases that are beyond our control.</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Moreover, the FDA requires us to comply with standards, commonly referred to as Good Clinical Practices, for conducting, recording, and reporting the results of clinical studies to assure that data and reported results are credible and accurate and that the rights, integrity and confidentiality of clinical study participants are protected. Our reliance on third parties that we do not control does not relieve us of these responsibilities and requirements.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Problems with the timeliness or quality of the work of any CRO may lead us to seek to terminate our relationship with any such CRO and use an alternative service provider. Making this change may be costly and may delay our clinical studies, and contractual restrictions may make such a change difficult or impossible to effect. If we must replace any CRO that is conducting our clinical studies, our clinical studies may have to be suspended until we find another CRO that offers comparable services. The time that it takes us to find alternative organizations may cause a delay in the commercialization of bempedoic acid or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bempedoic acid / ezetimibe combination tablet or may cause us to incur significant expenses to replicate data that may be lost. Although we do not believe that any CRO on which we may rely will offer services that are not available elsewhere, it may be difficult to find a replacement organization that can conduct our clinical studies in an acceptable manner and at an acceptable cost.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drug supplies for bempedoic acid and the bempedoic acid / ezetimibe combination tablet and rely on third parties to produce commercial supplies of bempedoic acid and the bempedoic acid / ezetimibe combination tablet and preclinical, clinical and commercial supplies of any future product candidate.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internally manufacture our commercial supply and clinical drug supply of bempedoic acid and the bempedoic acid / ezetimibe combination tablet, or any future product candidates, for use in the commercialization and conduct of our preclinical studies and clinical studies, and we lack the internal resources and the capability to manufacture any product candidates on a commercial or clinical scale. In addition, we have no control over the production of ezetimibe for the bempedoic acid / ezetimibe combination tablet. The facilities used by our contract manufacturers to manufacture the active pharmaceutical ingredient and final drug for bempedoic acid, or any future product candidates, must be approved by the FDA and other comparable foreign regulatory agencies pursuant to inspections that would be conducted after submission of our NDA or relevant foreign regulatory submission to the applicable regulatory agency.</w:t>
      </w:r>
    </w:p>
    <w:p>
      <w:pPr>
        <w:spacing w:after="0" w:line="17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manufacturers to comply with current Good Manufacturing Practices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 comparable foreign regulatory agency does not approve these facilities for the manufacture of our products and product candidates or if it withdraws its approval in the future, we may need to find alternative manufacturing facilities, which would adversely impact our ability to commercialize, develop, obtain regulatory approval for or market our products and product candidates. 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commercialization supply or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products and product candidates according to the specifications previously submitted to or approved by the FDA or another regulatory authority. The delays associated with the verification of a new contract manufacturer could negatively affect our ability to develop product candidates or commercialize our products in a timely manner or within budget. Furthermore, a contract manufacturer may possess technology related to the manufacturing of our products and product candidates that such contract manufacturer owns independently. This would increase our reliance on such contract manufacturer or require us to obtain a license from such contract manufacturer in order to have another contract manufacturer manufacture our product and product candidates. In addition, in the case of the contract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Throughout the COVID-19 pandemic, there has been public concern over the availability and accessibility of critical medical products, and the CARES Act enhances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plan will be subject to FDA review during an inspection. If we experience shortages in the supply of our marketed products, our results could be materially impacted.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recurring surges, new variants and waves of infection, and the future outbreak of other highly infectious or contagious diseases, could have a material adverse impact on our business, financial condition and results of operations, including the commercial performance of NEXLETOL and NEXLIZET, our commercial performance of NILEMDO and NUSTENDI led by DSE in the EU, and operations and sales in general.</w:t>
      </w:r>
    </w:p>
    <w:p>
      <w:pPr>
        <w:spacing w:after="0" w:line="16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Broad-based business or economic disruptions could adversely affect our ongoing or planned research and development and commercialization activities. For example, in December 2019, an outbreak of a novel strain of coronavirus spread to the majority of countries around the world, including the U.S. New variants of coronavirus have continued to emerge, including, for example, the Omicron strain at the end of 2021. To date, the COVID-19 pandemic has caused significant disruptions to the U.S. and global economy and has contributed to significant volatility and negative pressure in financial markets. The global impact of the pandemic continues to evolve as additional cases of the virus are identified, public health officials learn more about the spread of the virus and the efficacy of containment measures, and vaccines and treatments against the virus are developed, approved and distributed. Many countries, as well as certain states and cities in the U.S., have reacted by instituting varying levels of quarantine and social distancing requirements, restrictions on travel, and mandatory closures of and/or occupancy limits for businesses. Although many of these restrictions have been eased or lifted, in response to local surges and new waves of infection, some countries, states, and local governments have reinstituted, or may reinstitute, these restrictions, and additional, more restrictive orders, proclamations, and/or directives may be issued in the future. In response to the spread of SARS-CoV-2 and COVID-19, our commercial and medical organizations as well as our home office personnel are following internal guidelines and respective state and local guidelines when interacting with physicians and customers.</w:t>
      </w:r>
    </w:p>
    <w:p>
      <w:pPr>
        <w:spacing w:after="0" w:line="21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As a result of the current pandemic, or future pandemics, we may not be able to meet expectations with respect to the net product sales of NEXLETOL and NEXLIZET or attain or maintain profitability and positive cash-flow from operations. To date, most of our manufacturing partners and CROs have continued to produce at anticipated levels despite these COVID-19 challenges, but we may experience other delays, such as delays in the timing for the review and approval of expanded indications such as cardiovascular risk reduction in various jurisdictions.</w:t>
      </w:r>
    </w:p>
    <w:p>
      <w:pPr>
        <w:spacing w:after="0" w:line="2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extent to which the ongoing COVID-19 pandemic, or the future outbreak of any other highly infectious or contagious diseases, impacts our business, including our commercialization efforts, preclinical studies, and clinical trial operations, will depend on continuously changing circumstances, which are highly uncertain and cannot be predicted with confidence, such as the duration of such pandemic including future waves of infection, new variants of the disease, or the broad availability and utilization of an effective vaccine, the actions taken to contain the pandemic or mitigate its impact, and the direct and indirect economic effects of the pandemic and containment measures, among others. The ongoing fluidity of this situation precludes any prediction as to the full impact of the COVID-19 pandemic, but it could have a material adverse effect on our business, financial condition, and results of operations. The continuing COVID-19 pandemic may also have the effect of heightening many of the risks described herein, including the below:</w:t>
      </w:r>
    </w:p>
    <w:p>
      <w:pPr>
        <w:spacing w:after="0" w:line="189" w:lineRule="exact"/>
        <w:rPr>
          <w:sz w:val="20"/>
          <w:szCs w:val="20"/>
          <w:color w:val="auto"/>
        </w:rPr>
      </w:pPr>
    </w:p>
    <w:p>
      <w:pPr>
        <w:ind w:left="660" w:right="100" w:hanging="328"/>
        <w:spacing w:after="0" w:line="25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generate net product sales from NEXLETOL and NEXLIZET may be adversely affected by the economic impact of the ongoing COVID-19 pandemic. In addition, social distancing requirements and precautionary measures due to COVID-19 have impacted the ability of our sales personnel to interact in-person with physicians and customers. As a result, in many circumstances we have needed to limit our interactions with physicians and payors and adapt our commercial strategies and tactics to include a virtual model, including developing and deploying various technology-enabled platforms for virtual engagement such as remote detailing, digital and non-personal marketing channels, and social media. These circumstances may adversely affect the ability of our sales professionals and our partner's sales professionals to effectively market NEXLETOL, NEXLIZET, NILEMDO and NUSTENDI to physicians and the rates of uptakes for NEXLETOL, NEXLIZET, NILEMDO and NUSTENDI, which may have a negative impact on our sales and our market penetration. In addition, patient visits with physicians have decreased as a result of COVID-19, due to travel restrictions, social distancing requirements, prioritization of healthcare resources to address the pandemic, and/or fear of exposure to the virus, which could have a material adverse impact on new patient starts and overall patient treatment volume.</w:t>
      </w:r>
    </w:p>
    <w:p>
      <w:pPr>
        <w:spacing w:after="0" w:line="178" w:lineRule="exact"/>
        <w:rPr>
          <w:rFonts w:ascii="Times New Roman" w:cs="Times New Roman" w:eastAsia="Times New Roman" w:hAnsi="Times New Roman"/>
          <w:sz w:val="18"/>
          <w:szCs w:val="18"/>
          <w:color w:val="auto"/>
        </w:rPr>
      </w:pPr>
    </w:p>
    <w:p>
      <w:pPr>
        <w:ind w:left="660" w:right="200" w:hanging="328"/>
        <w:spacing w:after="0" w:line="23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from the current or future pandemics may adversely impact the third parties we solely rely on to sufficiently manufacture bempedoic acid tablets and the bempedoic acid / ezetimibe combination tablets and to produce our products in quantities we require, which may impair the commercialization of NEXLETOL, NEXLIZET, NILEMDO and NUSTENDI. Since the beginning of the COVID-19 pandemic, several vaccines for COVID-19 have received Emergency Use Authorization by the FDA and a number of those later received marketing approval.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60"/>
        <w:spacing w:after="0" w:line="245" w:lineRule="auto"/>
        <w:rPr>
          <w:sz w:val="20"/>
          <w:szCs w:val="20"/>
          <w:color w:val="auto"/>
        </w:rPr>
      </w:pPr>
      <w:r>
        <w:rPr>
          <w:rFonts w:ascii="Times New Roman" w:cs="Times New Roman" w:eastAsia="Times New Roman" w:hAnsi="Times New Roman"/>
          <w:sz w:val="18"/>
          <w:szCs w:val="18"/>
          <w:color w:val="auto"/>
        </w:rPr>
        <w:t>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and commercial product, which could lead to delays in these trials and/or issues with our commercial supply.</w:t>
      </w:r>
    </w:p>
    <w:p>
      <w:pPr>
        <w:spacing w:after="0" w:line="208" w:lineRule="exact"/>
        <w:rPr>
          <w:sz w:val="20"/>
          <w:szCs w:val="20"/>
          <w:color w:val="auto"/>
        </w:rPr>
      </w:pPr>
    </w:p>
    <w:p>
      <w:pPr>
        <w:ind w:left="660" w:hanging="328"/>
        <w:spacing w:after="0" w:line="23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regulatory agencies globally may experience disruptions in their operations as a result of the ongoing COVID-19 pandemic. The FDA and comparable foreign regulatory agencies may have slower response times or be under-resourced and, as a result, review, inspection, and other timelines may be materially delayed. Since March 2020 when foreign and domestic inspections of facilities were largely placed on hold, the FDA has been working to resume routine surveillance, bioresearch monitoring and pre-approval inspections on a prioritized basis.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3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regulatory agencies may refuse to accept data from our clinical trials due to mitigation strategies we utilize in response to the COVID-19 pandemic and current regulatory guidance, which could delay, limit, or prevent marketing approval or label expansion of our drugs or drug candidates.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it is not possible at this time to estimate the entirety of the impact that the ongoing COVID-19 pandemic will have on our business or operations, the continued spread or future waves of COVID-19, measures taken by governments, actions taken to protect employees, and the broad impact of the pandemic on all business activities may materially and adversely affect our preclinical activities, clinical development progress, data and timelines, regulatory approvals, commercialization efforts including any revenue from sales or milestone payments from partners, supply chain continuity, and general business operations, and our business, prospects, financial condition, and results of operations could be materially harmed as a result.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likely to be volatile, which could result in substantial losses for purchasers of our common stock.</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25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product candidates, or our competitors’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and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including shares issuable upon exercise of outstanding stock options and upon vesting of stock units under our stock incentive plans;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results of companies that are perceived to be similar to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active trading market for our shares is sustained;</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evaluations or recommendations by securities analysts, that cover our stock or the failure by one or more securities analysts to continue to cover our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societal and economic impact of public health epidemics, such as the ongoing COVID-19 pandemic and any recession, depression or sustained market event resulting from the pandemic;</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 During the 2022 year end audit, due to a change in filing status our independent registered public accounting firm was not required and did not issue a report on the effectiveness of our internal controls over financial reporting. Management assessed our internal controls over financial reporting, including by using a third-party firm, and determined that their internal controls were effective as of December 31, 2022.</w:t>
      </w:r>
    </w:p>
    <w:p>
      <w:pPr>
        <w:spacing w:after="0" w:line="21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course of our review and testing,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we are required to timely file accurate quarterly and annual reports with the SEC under the Securities Exchange Act of 1934, or the Exchange Act, as amended. In order to report our results of operations and financial statements on an accurate and timely basis, we depend on CROs to provide timely and accurate notice of their costs to us. Any failure to report our financial results on an accurate and timely basis could result in sanctions, lawsuits, delisting of our shares from the NASDAQ Global Market or other adverse consequences that would materially harm our business.</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or publish misleading, inaccurate or unfavorable research about us, our business or our market, our stock price and trading volume could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publish about us, our business, our</w:t>
      </w:r>
    </w:p>
    <w:p>
      <w:pPr>
        <w:spacing w:after="0" w:line="3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market or our competitors. If one or more of the industry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19,400 square feet of office space. We have entered into an amendment to our current lease agreement that, effective as of November 1, 2023, will reduce our leased office space to approximately</w:t>
      </w:r>
    </w:p>
    <w:p>
      <w:pPr>
        <w:spacing w:after="0"/>
        <w:rPr>
          <w:sz w:val="20"/>
          <w:szCs w:val="20"/>
          <w:color w:val="auto"/>
        </w:rPr>
      </w:pPr>
      <w:r>
        <w:rPr>
          <w:rFonts w:ascii="Times New Roman" w:cs="Times New Roman" w:eastAsia="Times New Roman" w:hAnsi="Times New Roman"/>
          <w:sz w:val="18"/>
          <w:szCs w:val="18"/>
          <w:color w:val="auto"/>
        </w:rPr>
        <w:t>11,500 square feet. We believe our current facilities will be sufficient to meet our needs until expiration.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color w:val="auto"/>
        </w:rPr>
        <w:t>We are currently involved, as we are from time to time, in legal proceedings that arise in the ordinary course of our business. We believe that we have adequately accrued for these liabilities and that there is no other litigation pending that could materially harm our results of operations and financial condition. See "Commitments and Contingencies" under Note 5 to our financial statements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further discussion of our current legal proceedings.</w:t>
      </w:r>
    </w:p>
    <w:p>
      <w:pPr>
        <w:spacing w:after="0" w:line="20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“ESPR”.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2023, there were 5 stockholders of record, which excludes stockholders whose shares were held in nominee or street name by brokers.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for our common stock since December 31, 2017, to two indices: the NASDAQ Composite Index and the NASDAQ Biotechnology Index. The graph set forth below compares the cumulative total stockholder return on an initial investment of $100 in our common stock from December 31, 2017 through December 31, 2022, with the comparative cumulative total return of such amount on (i) the NASDAQ Composite Index, and (ii) the NASDAQ Biotechnology Index over the same period. Historical stockholder return is not necessarily indicative of the performance to be expected for any future periods.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Among Esperion Therapeutics, Inc., the NASDAQ Composite Index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142875</wp:posOffset>
            </wp:positionV>
            <wp:extent cx="5957570" cy="1414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5757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December 31, 2017 in stock or index.</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performance graph shall not be deemed to be incorporated by reference by means of any general statement incorporating by reference this Form 10-K into any filing under the Securities Act of 1933, as amended or the Exchange Act, except to the extent that we specifically incorporate such information by reference, and shall not otherwise be deemed filed under such 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11 of Part III of this Annual Report.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Securities Sold Within Last 3 Years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11, 2020, we agreed to sell to the several initial purchasers (the “Initial Purchasers”), and the Initial Purchasers agreed to purchase from us, $250.0 million aggregate principal amount of our 4.00% Convertible Senior Subordinated Notes due 2025 (the “initial notes”), pursuant to a purchase agreement, or the Purchase Agreement between us and the Initial Purchasers. We also granted the Initial Purchasers an option to purchase from us up to an additional $30.0 million aggregate principal amount of our 4.00% Convertible Senior Subordinated Notes due 2025 (the “additional notes” and, together with the initial notes, the “notes”) pursuant to the Purchase Agreement for settlement within a 13-day period beginning on, and including, the date the initial notes are issued. The issuance of the initial notes was consummated on November 16, 2020, or the Closing Date, and the issuance of the additional notes was consummated on November 18, 2020.</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net proceeds we received from the offering of the initial notes was approximately $242.0 million, after deducting the Initial Purchasers’ discounts and commissions and offering expenses payable by us. On the Closing Date, we used approximately $41.1 million of the net proceeds from the offering of the initial notes to pay the cost of the Base Capped Call Transactions (as defined below) and $55.0 million of the net proceeds from the offering of the initial notes to finance the Forward Stock Purchase Transaction (as defined below). We intend to use the remaining net proceeds from the offering for general corporate purposes, including potential in-licensing opportunities. We used a portion of the net proceeds from the sale of the additional notes to enter into the Additional Capped Call Transactions (as defined below). We intend to use the remaining net proceeds for general corporate purposes as described above.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initial notes on November 11, 2020, we entered into privately negotiated capped call transactions (together, the “Base Capped Call Transactions”) with one of the initial purchasers of the notes or its affiliate and certain other financial institutions (together, the “Option Counterparties”). The Base Capped Call Transactions cover, subject to customary anti-dilution adjustments, the aggregate number of shares of our common stock that underlie the initial notes, and are expected generally to reduce potential dilution to our common stock upon any conversion of initial notes and/or offset any cash payments we are required to make in excess of the principal amount of converted initial notes, as the case may be, with such reduction and/or offset subject to a cap, based on the cap price of the Base Capped Call Transactions. The cap price of the Base Capped Call Transactions will initially be $55.16, which represents a premium of 100.0% over the last reported sale price of our common stock on November 11, 2020, and is subject to certain adjustments under the terms of the Base Capped Call Transactions. The cost of the Base Capped Call Transactions was approximately $41.1 million. We used a portion of the net proceeds from the sale of the additional notes to enter into additional capped call transactions with the Option Counterparties (together, the “Additional Capped Call Transactions” and, together with the Base Capped Call Transactions, the “Capped Call Transactions”).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11, 2020, in connection with the pricing of the initial notes, we entered into a forward stock purchase transaction (the “Forward Stock Purchase Transaction”) pursuant to a forward stock purchase confirmation (the “Forward Stock Purchase Confirmation”) with Morgan Stanley &amp; Co. LLC, pursuant to which we agreed to purchase 1,994,198 shares of our common stock for settlement on or about November 15, 2025. The number of shares of common stock that we will ultimately repurchase in the Forward Stock Purchase Transaction is subject to customary anti-dilution adjustments. On November 16, 2020, we used $55.0 million of the proceeds from the offering of the initial notes to finance the cost of the Forward Stock Purchase Transaction.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 Stock Purchase Transaction is intended to allow investors in the notes to establish short positions that generally correspond to (but may be greater than) commercially reasonable initial hedges of their investment in the notes. The Forward Stock Purchase Transaction is subject to early settlement or settlement with alternative consideration in the event of certain corporate transactions.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the Closing Date, or the Indenture, between us and U.S. Bank National Association, as trustee. The notes were issued to the Initial Purchasers in reliance upon Section 4(a)(2) of the Securities Act in transactions not involving any public offering. The notes were resold by the Initial Purchasers to persons whom the Initial Purchasers reasonably believe are “qualified institutional buyers” in accordance with Rule 144A under the Securities Act. Any shares of our common stock that may be issued upon conversion of the notes will be issued in reliance upon Section 3(a)(9) of the Securities Act as involving an exchange by us exclusively with its security holders. We relied on this exemption from registration based in part on representations made by the Initial Purchasers in the Purchase Agreement.</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Base Capped Call Transactions and the Forward Stock Purchase Transaction were, and any Additional Capped Call Transactions will be, entered into by us in reliance upon Section 4(a)(2) of the Securities Act in transactions not involving any public offering. We relied on this exemption from registration based in part on representations made by the Option Counterparties party thereto.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22, 2021, we entered into a privately negotiated exchange agreement, or the Exchange Agreement, with two co-managed holders, or the Holders, of our notes. Under the terms of the Exchange Agreement, the Holders agreed to exchange with us $15.0 million aggregate principal amount of the notes held in the aggregate by them (and accrued interest thereon) for shares of our common stock. Pursuant to the Exchange Agreement, the number of shares of common stock to be issued by us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resulting in an issuance of 1,094,848 shares of our common stock. Refer to Note 11 in our audited financial statements appearing elsewhere in this Annual Report on Form 10-K for further information.</w:t>
      </w:r>
    </w:p>
    <w:p>
      <w:pPr>
        <w:spacing w:after="0" w:line="19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issuance of the Exchange Shares under the Exchange Agreement was made in reliance on the exemption from registration pursuant to Section 4(a)(2) of the Securities Act of 1933, as amended. We relied on this exemption from registration based in part on representations made by the Holders in the Exchange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We are a pharmaceutical company singularly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 xml:space="preserve">We recently completed a global cardiovascular outcomes trial, or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who are statin averse and who have CVD or are at high risk for CVD. We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we announced that the study had met its primary endpoint. We anticipate reporting full results from the study at ACC.23 Annual Scientific Session &amp; Expo together with the World Congress of Cardiology (or ACC.23/WCC) on March 4, 2023. We intend to use results from this CVOT to support submissions for a CV risk reduction indication in the U.S., Europe and other territories and plan to file for such regulatory approvals in the first half of 2023.</w:t>
      </w:r>
    </w:p>
    <w:p>
      <w:pPr>
        <w:spacing w:after="0" w:line="21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November 23, 2022, we entered into a waiver and amendment to our Revenue Interest Purchase Agreement, or RIPA, with Eiger III SA LLC, or Oberland, in which we agreed to make a one-time partial call payment with regards to the Revenue Interests (as defined in the RIPA) in an amount equal to $50 million from the restricted cash account, or the Partial Call. Under this amendment, the amount of the Cumulative Purchaser Payments (as defined in the RIPA) was reduced to $177,777,778. Refer to Note 10 to our audited financial statements appearing elsewhere in this Annual Report on Form 10-K for further information.</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purchase agreements. We have incurred losses in each year since our inception.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our net losses were $233.7 million and $269.1 million for the years ended December 31, 2022 and 2021, respectively. Substantially all of our net losses resulted from costs incurred in connection with research and development programs, selling, general and administrative costs associated with our operations. We expect to incur significant expenses and operating losses for the foreseeable future in connection with our ongoing activities, including, among others:</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research and development activities.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incurred $83.5 million in direct expenses related to our CLEAR Outcomes CVOT and other ongoing clinical studies.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incurred $65.9 million in direct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full extent to which the ongoing COVID-19 pandemic, or the future outbreak of any other highly infectious or contagious diseases, may impact our business, including our commercialization efforts will depend on continuously changing circumstances, which are highly uncertain and cannot be predicted at this time, such as the duration of such pandemic including future waves of infection, the emergence and prevalence of more contagious variants, such as the "Omicron" variant and the BA.2 subvariants of the virus, or the global availability and utilization of effective vaccines, the actions taken to contain the pandemic or mitigate its impact, and the direct and indirect economic effects of the pandemic and containment measures, among others. The ongoing fluidity of this situation precludes any prediction as to the full impact of the COVID-19 pandemic but it has had a material adverse effect on our business, financial condition, and results of operations. The ongoing COVID-19 pandemic may also have the effect of heightening the risks to which we are subject, including the reliance on third parties in our supply chain for materials and manufacturing and delivery of our drugs and drug candidates, our ability to effectively promote and market our approved products, disruptions in health regulatory agencies' operations globally, the volatility of our common stock, our ability to access capital markets, and our ability to successfully commercialize and generate revenue from our approved drugs.</w:t>
      </w:r>
    </w:p>
    <w:p>
      <w:pPr>
        <w:spacing w:after="0" w:line="19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Because COVID-19 infections have been reported throughout the U.S. and worldwide, and as new strains continue to be identified, certain national, state, and local governmental authorities have issued orders, proclamations, and/or directives aimed at minimizing the spread of COVID-19. Although many of these restrictions have been eased or lifted, in response to local surges and new waves of infection, some countries, states, and local governments have reinstituted these restrictions, and additional, more restrictive orders, proclamations, and/or directives may be issued in the future. In response to the COVID-19 pandemic, we have implemented precautionary measures to protect the health and safety of our employees, partners, and patients, including requiring adherence to onsite occupancy limits and appropriate safety measures designed to comply with federal, state, and local guidelines.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successfully launch, commercialize, and generate revenue from NEXLETOL, NEXLIZET, NILEMDO and NUSTENDI has been and may continue to be adversely affected by the economic impact of the ongoing COVID-19 pandemic. Physicians’ offices and other medical institutions had limited access for nonpatients, which included our sales personnel. In addition, social distancing or testing requirements and precautionary measures due to COVID-19 have impacted the ability of our sales personnel to interact in-person with customers. As a result, in many circumstances we limited our interactions with physicians and payors and adapted our launch strategies and tactics to a virtual model, including developing and deploying various technology-enabled platforms for virtual engagement such as remote detailing, digital and non-personal marketing channels, and social media. These circumstances have affected and may continue to adversely affect the ability of our sales professionals to effectively market our approved drugs to physicians and the rates of uptakes for our approved drugs, which may have a negative impact on our sales and our market penetration. In addition, patient visits with physicians have decreased as a result of COVID-19, due to travel restrictions, social distancing or testing requirements, prioritization of healthcare resources to address the pandemic, and/or fear of exposure to the virus, which we believe has adversely affected and could continue to have an adverse impact on new patient starts and overall patient treatment volume.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it is not possible at this time to estimate the entirety of the impact that the ongoing COVID-19 pandemic will have on our business or operations, the continued spread or future waves of COVID-19 or other highly infectious or contagious diseases, measures taken by governments, actions taken to protect employees, and the broad impact of the pandemic on all business activities may materially and adversely affect our preclinical activities, clinical development progress, data and timelines, commercialization efforts including any revenue from sales, supply chain continuity, and general business operations, and our business, prospects, financial condition, and results of operations could be materially harmed as a result.</w:t>
      </w:r>
    </w:p>
    <w:p>
      <w:pPr>
        <w:spacing w:after="0" w:line="1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To date, we have not experienced any interruption of our supply of drug products needed to support our product sales. However, such interruptions may occur due to supply chain issues related to COVID-19, such as the demand for vaccines and potential for manufacturing facilities and materials to be commandeered under the Defense Production Act of 1950, or equivalent foreign legislation, which may make it more difficult to obtain materials or manufacturing capacity at our third-party manufacturers to the products needed for our clinical trials and commercial product, which could lead to delays in our future trials and/or issues with our commercial supply. We remain focused on maintaining a strong balance sheet, liquidity and financial flexibility and continue to monitor developments. We will continue to work diligently with our partners and stakeholders to continue supporting patient access to our approved medicines, advancing our products under regulatory review as well as in clinical studies to the extent safe to do so for patients, caregivers and healthcare practitioners, and ensuring the continuity of our manufacturing and supply chain. For additional information related to the potential impact of COVID-19 on our business, please read Part I Item 1A, “Risk Factors”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and Otsuka. Collaboration revenue in the year ended December 31, 2022, was primarily related to sales of bulk tablets under supply agreements and royalty revenue received from collaboration partners. Collaboration revenue in the year ended December 31, 2021, was primarily related to the initial recognition of the upfront payment from our license and collaboration agreement with DS,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660" w:right="520" w:hanging="328"/>
        <w:spacing w:after="0" w:line="312" w:lineRule="auto"/>
        <w:tabs>
          <w:tab w:leader="none" w:pos="65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in the foreseeable future as they relate to closing-out activities for the CLEAR Outcomes CVOT and any other development programs or additional indications we choose to pursue. We expect research and development expenses to decrease after we report the full results of the CLEAR Outcomes CVOT.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including uncertainties associated with the results of our clinical studies and our ability to obtain regulatory approval outside the U.S. and Europe.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selling, general and administrative expenses will increase at the end of 2023 after we report full results from the CLEAR Outcomes CVOT in connection with potential additional global regulatory submissions for new product indications, expanded commercialization initiatives for NEXLETOL and NEXLIZET and increases in our associated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for the years ended December 31, 2022 and December 31, 2021 was related to our Revenue Interest Purchase Agreement, or RIPA, with Eiger III SA LLC, or Oberland, an affiliate of Oberland Capital and our Convertible Notes issued in November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income, net, for the year ended December 31, 2022 primarily relates to the sale of lease vehicles associated with the reduction in force, interest income and the accretion or amortization of premiums and discounts earned on our cash, cash equivalents and investment securities. Other income, net, for the year ended December 31, 2021 included a gain on extinguishment of our convertible debt in addition to the sale of lease vehicles associated with the reduction in force, interest income and the accretion or amortization of premiums and discounts earned on our cash, cash equivalents and investment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collaboration agreements and revenue interest liability.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to our audited financial statements appearing elsewhere in this Annual Report on Form 10-K. We believe the following accounting policies to be most critical to understanding our results and financial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sell NEXLETOL and NEXLIZET to wholesalers in the U.S and, in accordance with ASC 606, recognize revenue at the point in time when the customer is deemed to have obtained control of the product, which generally occurs upon receipt by the customer. Product sales are recorded at the net selling price, which includes variable considerations for rebates, chargebacks, co-pay assistance programs, distribution related fees, product returns, and other sales-related discounts and fees. Calculating these net product sales involves judgments and estimates. We estimate a range of possible outcomes which are probability-weighted for relevant factors such as contracts with customers, healthcare providers, payors and government agencies, statutorily-defined discounts applicable to government-funded programs, forecasted payor mix, customer buying and payment patterns, and other relevant factors. The reserves reflect our best estimates of the amount of consideration to which we are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our commercial operations we have provided constraint of our variable consideration due to its potential consumption trends. Actual amounts of consideration ultimately received may differ from our estimates. Each period, we review our estimates of rebates, co-pay assistance programs, distribution fees and other applicable provisions. If actual results vary from estimates, we adjust these estimates, which would affect net product revenue and earnings in the period such variances become known. A 3% change to our year ended December 31, 2022 net product sales would have an impact of approximately $1.7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Liability</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have entered into a RIPA to support the commercialization and further development of bempedoic acid and the bempedoic acid / ezetimibe combination tablet and provide for other working capital needs. The revenue interest liability related to the RIPA is presented net of deferred issuance costs on the balance sheets. The Company imputes interest expense associated with this liability using the effective interest rate method and is presented as interest expense on the statements of operations.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net sales. This estimate is complex and highly judgmental as it is based on our future revenue projections and expectations about future economic and market conditions. The Company evaluates the interest rate quarterly based on its current net sales forecasts utilizing the prospective method. A significant increase or decrease in net sales will materially impact the revenue interest liability, interest expense and the time period for repayment.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Issuance costs in connection with the RIPA are amortized to interest expense over the estimated term of the RIPA.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information on new accounting standards adopted and the impact, on our financial position or results of operations, see Note 2 to our audited financial statements found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(233,659)</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Product sales, net for the year ended December 31, 2022 was $55.9 million compared to $40.0 million for the year ended December 31, 2021, an increase of approximately $15.9 million. The increase is primarily due to prescription growth of NEXLETOL and NEXLIZET. NEXLETOL and NEXLIZET became commercially available in the U.S. on March 30, 2020 and June 4,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year ended December 31, 2022 was $19.6 million compared to $38.4 million for the year ended December 31, 2021, a decrease of $18.8 million primarily related to the recognition of $28.0 million in revenue related to the initial recognition of the upfront payment from our license and collaboration agreement with Daiichi Sankyo in April 2021, partially offset by increases in product sales to collaboration partners under our supply agreements and royalty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 of goods sold for the year ended December 31, 2022, was $27.0 million compared to $14.2 million for the year ended December 31, 2021, an increase of $12.8 million. The increase is primarily related to increased product sales to our collaboration partners under our supply agreements and increased net product sales of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were $118.9 million compared to $106.0 million for the year ended December 31, 2021, an increase of approximately $12.9 million. The increase in research and development expenses was primarily attributable to an increase in CVOT costs as we achieved 100% MACE accumulations and continued close-out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2022, were $109.1 million compared to $185.0 million for the year ended December 31, 2021, a decrease of $75.9 million. The decrease in selling, general and administrative expenses was primarily attributable to decreases in compensation costs related to the reduction in force in the fourth quarter of 2021 and a $13.3 million one-time charge associated with a legal settlement in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Interest expense for the year ended December 31, 2022, was $56.8 million, compared to $46.4 million for the year ended December 31, 2021, an increase of approximately $10.4 million. The increase in interest expense for the year ended December 31, 2022 was primarily due to additional non-cash interest expense attributable to our RIPA with Oberland.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Other income, net for the year ended December 31, 2022, was $2.7 million compared to $4.0 million for the year ended December 31, 2021, a decrease of $1.3 million. This decrease was primarily due to a $2.6 million gain on extinguishment on the exchange of our convertible notes for shares of our common stock and a gain on sale of our lease vehicles due to the reduction in force in the year ended December 31, 2021, partially offset by higher interest income on our investments due to higher interest rates in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received an upfront cash payment of $30.0 million in May 2021 and are eligible for substantial additional sales milestone payments and royalties. In December 2021, we entered into an underwriting agreement where we sold shares of common stock and accompanying warrants to purchase shares of our common stock and received net proceeds of $208.7 million. On April 15, 2022, we filed a new registration statement on Form S-3, which registers the offering, issuance and sale of up to $239 million of common stock from time to time in “at-the-market” offerings (the “New ATM Program”). During 2022, we issued 13,043,797 shares of common stock resulting in net proceeds of approximately $90.8 million.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to be filed on February 21, 2023. We may continue to use the 2023 ATM program or issue stock through other capital markets to address potential funding requirements. We anticipate that we will incur losses for the foreseeable future as we continue to incur substantial expenses related to the ongoing</w:t>
      </w:r>
    </w:p>
    <w:p>
      <w:pPr>
        <w:spacing w:after="0" w:line="1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commercialization of NEXLETOL and NEXLIZET and expenses associated with our research and development activities. We anticipate that our current cash, cash equivalents, investments, expected future net product sales of NEXLETOL and NEXLIZET, and expected future revenue under our collaboration agreements is sufficient to fund continuing operations for the foreseeable future.</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2022, our primary sources of liquidity were our cash and cash equivalents and available-for-sale investments which totaled $166.9 million. We invest our cash equivalents and investments in highly liquid, interest-bearing investment-grade securities and government securities to preserve principal.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(134,117)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(46,070)</w:t>
            </w:r>
          </w:p>
        </w:tc>
      </w:tr>
      <w:tr>
        <w:trPr>
          <w:trHeight w:val="20"/>
        </w:trPr>
        <w:tc>
          <w:tcPr>
            <w:tcW w:w="8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totaled $174.8 million for the year ended December 31, 2022, consisting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and convertible notes, depreciation and amortization and changes in working capital. Net cash used in operating activities totaled $263.8 million for the year ended December 31, 2021, consisting of net product sales of NEXLETOL and NEXLIZET and $30.0 million in upfront fees from our collaboration agreement with DS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and convertible notes, depreciation and amortization and changes in working capital. The decrease in cash used in operating activities for the year ended December 31, 2022 compared to the year ended December 31, 2021 was primarily related to management implementing certain cost optimization measures, including a reduction in force in the fourth quarter of 2021, to align operational and expense structure to better enable future growth for their approved products and to prioritize their investment in the CLEAR Outcomes trial.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$8.1 million for the year ended December 31, 2022 consisted primarily of proceeds from the sales of highly liquid, interest bearing investment grade and government securities. Net cash used in investing activities of $50.5 million for the year ended December 31, 2021 consisted primarily of purchases of highly liquid, interest bearing investment grade and government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invested in available-for-sale investments in the year ended December 31, 2022 will become available for our use over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of $32.6 million for the year ended December 31, 2022, related primarily to proceeds from our ATM program, partially offset by a one-time partial call payment with regards to the Revenue Interests (as defined in the RIPA) in an amount equal to $50.0 million from the restricted cash account under the waiver and amendment of our RIPA with Oberland, and payments on our revenue interest liability. Net cash provided by financing activities of $268.2 million for the year ended December 31, 2021, related primarily to net $208.7 million received from our offering of common stock and warrants in December 2021, $50.0 million in cash from our RIPA with Oberland, proceeds from the issuance of common stock through the "at-the-market" offering and cash received from stock option exercises, offset by payments on our revenue interest liability.</w:t>
      </w:r>
    </w:p>
    <w:p>
      <w:pPr>
        <w:spacing w:after="0" w:line="17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August 3, 2021, we filed an automatically effective registration statement on Form S-3ASR, or Registration Statement, with the SEC which registers the offering, issuance and sale of an unspecified amount of common stock, preferred stock, debt securities, warrants and/or units of any combination thereof. We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or the ATM Program. During the year ended December 31, 2021, we issued 897,364 shares of common stock resulting in net proceeds of approximately $9.7 million after deducting underwriting discounts and commissions and other expenses, pursuant to the ATM Program. On April 15, 2022, we filed a new registration statement on Form S-3, which registers the offering, issuance and sale of up to $239 million of common stock from time to time in “at-the-market” offerings, or the New ATM Program. During the year ended December 31, 2022, we issued 13,043,797 shares of common stock, resulting in net proceeds of approximately $90.8 million after deducting $3.1 million of underwriting discounts and commissions and other expenses, pursuant to the New ATM Program.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to be filed on February 21, 2023.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an underwriting agreement where we sold 32,142,858 shares of common stock and accompanying warrants to purchase up to an aggregate of 32,142,858 shares of our common stock. We also granted the underwriters a 30-day option to purchase up to 4,821,428 additional shares of common stock and/or accompanying warrants to purchase an aggregate of up to 4,821,428 shares of our common stock. The underwriters exercised the option to purchase additional warrants to purchase 4,821,428 shares of Common Stock. The aggregate net proceeds received by us from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offering was $208.7 million, after deducting underwriting discounts and commissions and other estimated offering expenses payable by us and excluding the net proceeds, if any, from the exercise of the common warrants. The warrants are immediately exercisable and will expire two years from the date of issuance, at an exercise price of $9.00 per share, which may provide us with additional funding, if such warrants are exercised by their holders.</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$24.8 million in the next year to a maximum total payment of $363.3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10 to our audited financial statements appearing elsewhere in this Annual Report on Form 10-K for further information.</w:t>
      </w:r>
    </w:p>
    <w:p>
      <w:pPr>
        <w:spacing w:after="0" w:line="17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the Convertible Notes held in the aggregate by them (and accrued interest thereon) for shares of our common stock, which closed on November 3, 2021. Future payments under the convertible notes include annual interest of $10.6 million and a principal payment of $265.0 million in 2025</w:t>
      </w:r>
      <w:r>
        <w:rPr>
          <w:rFonts w:ascii="Calibri" w:cs="Calibri" w:eastAsia="Calibri" w:hAnsi="Calibri"/>
          <w:sz w:val="18"/>
          <w:szCs w:val="18"/>
          <w:i w:val="1"/>
          <w:iCs w:val="1"/>
          <w:color w:val="auto"/>
        </w:rPr>
        <w:t>.</w:t>
      </w:r>
      <w:r>
        <w:rPr>
          <w:rFonts w:ascii="Times New Roman" w:cs="Times New Roman" w:eastAsia="Times New Roman" w:hAnsi="Times New Roman"/>
          <w:sz w:val="18"/>
          <w:szCs w:val="18"/>
          <w:color w:val="auto"/>
        </w:rPr>
        <w:t xml:space="preserve"> Refer to Note 11 to our audited financial statements appearing elsewhere in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closing our CLEAR Outcomes CVOT and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fund operations for the foreseeable future. We have based these estimates on assumptions that may prove to be wrong, and we may use our available capital resources sooner than we currently expect. We may look to secure additional cash resources should positive corporate events or milestones provide sufficient opportunities. We may need to secure additional cash resources or implement certain additional cost reduction initiatives to continue to fund the commercialization and further development of bempedoic acid and the bempedoic acid / ezetimibe combination tablet, particularly if our net product sales do not meet our expectations.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our ongoing clinical studies of bempedoic acid and the bempedoic acid / ezetimibe combination tablet;</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bempedoic acid and the bempedoic acid / ezetimibe combination tablet outside the U.S. and Europe;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11"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 including receiving potential milestone payments from collaboration partners;</w:t>
      </w:r>
    </w:p>
    <w:p>
      <w:pPr>
        <w:spacing w:after="0" w:line="20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9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Securities and Exchange Commission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available-for-sale investments of approximately $166.9 million at December 31, 2022. The primary objectives of our investment activities are to preserve principal, provide liquidity and maximize income without significantly increasing risk. Our primary exposure to market risk relates to fluctuations in interest rates which are affected by changes in the general level of U.S. interest rates. Given the short-term nature of our cash equivalents, we believe that a sudden change in market interest rates would not be expected to have a material impact on our financial condition and/or results of operation. We do not have any foreign currency or other derivative financial instruments.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maintain significant amounts of cash and cash equivalents at one or more financial institutions that are in excess of federally insured limits. We do not believe that our cash and cash equivalents have significant risk of default or illiquidity.</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contract with CROs and investigational sites globally. We are therefore subject to fluctuations in foreign currency rates in connection with these agreements. We do not hedge our foreign currency exchange rate risk.</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study costs. We do not believe that inflation has had a material effect on our results of operations during the year ended December 31, 2022.</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warrants currently have an exercise price of $9 per share and holders of the warrants may not exercise if the market price of our common stock is below $9. As a result, we may be unable to obtain potential proceeds from the exercise of these warrants if the market price of our common stock does not exceed $9 per share.</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into a revenue interest purchase agreement. Our primary exposure to market risk is that the interest rate on the liability may vary during the term of the agreement depending on a number of factors, including the level of forecasted net sales. A significant increase or decrease in net sales will materially impact the revenue interest liability, interest expense and the time period for repayment. Our Convertible Notes, which were issued in November 2020, carry a fixed interest rate of 4.0% per year. Since the Convertible Notes bear interest at a fixed rate, we have no direct financial statement risk associated with changes in interest rates. We do not believe a change in interest rate has had a material effect on our results of operations during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December 31, 2022,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2022, our disclosure controls and procedures were effective at the reasonable assurance level.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officer and principal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2022, based on criteria for effective internal control over financial reporting established in Internal Control — Integrated Framework (2013), issued by the Committee of Sponsoring Organizations of the Treadway Commission (COSO). Based on its assessment, management concluded that our internal control over financial reporting was effective as of December 31, 2022, based on those criteria.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three months ended December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2023 Annual Meeting of Stockholders, which we intend to file with the Securities and Exchange Commission within 120 days of the end of our fiscal year pursuant to General Instruction G(3) of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2023 Annual Meeting of Stockholders, which we intend to file with the Securities and Exchange Commission within 120 days of the end of our fiscal year pursuant to General Instruction G(3) of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2023 Annual Meeting of Stockholders, which we intend to file with the Securities and Exchange Commission within 120 days of the end of our fiscal year pursuant to General Instruction G(3) of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2023 Annual Meeting of Stockholders, which we intend to file with the Securities and Exchange Commission within 120 days of the end of our fiscal year pursuant to General Instruction G(3) of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Ernst &amp; Young LLP, Detroit, Michigan, PCAOB Auditor ID 42.</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2023 Annual Meeting of Stockholders, which we intend to file with the Securities and Exchange Commission within 120 days of the end of our fiscal year pursuant to General Instruction G(3) of Form 10-K.</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80" w:type="dxa"/>
            <w:vAlign w:val="bottom"/>
          </w:tcPr>
          <w:p>
            <w:pPr>
              <w:spacing w:after="0"/>
              <w:rPr>
                <w:sz w:val="20"/>
                <w:szCs w:val="20"/>
                <w:color w:val="auto"/>
              </w:rPr>
            </w:pPr>
          </w:p>
        </w:tc>
      </w:tr>
      <w:tr>
        <w:trPr>
          <w:trHeight w:val="432"/>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2680" w:type="dxa"/>
            <w:vAlign w:val="bottom"/>
          </w:tcPr>
          <w:p>
            <w:pPr>
              <w:spacing w:after="0"/>
              <w:rPr>
                <w:sz w:val="24"/>
                <w:szCs w:val="24"/>
                <w:color w:val="auto"/>
              </w:rPr>
            </w:pPr>
          </w:p>
        </w:tc>
      </w:tr>
      <w:tr>
        <w:trPr>
          <w:trHeight w:val="432"/>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2680" w:type="dxa"/>
            <w:vAlign w:val="bottom"/>
          </w:tcPr>
          <w:p>
            <w:pPr>
              <w:spacing w:after="0"/>
              <w:rPr>
                <w:sz w:val="24"/>
                <w:szCs w:val="24"/>
                <w:color w:val="auto"/>
              </w:rPr>
            </w:pPr>
          </w:p>
        </w:tc>
      </w:tr>
      <w:tr>
        <w:trPr>
          <w:trHeight w:val="432"/>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Financial Statements:</w:t>
            </w:r>
          </w:p>
        </w:tc>
        <w:tc>
          <w:tcPr>
            <w:tcW w:w="268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6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Auditor ID 42)</w:t>
            </w:r>
          </w:p>
        </w:tc>
        <w:tc>
          <w:tcPr>
            <w:tcW w:w="2420" w:type="dxa"/>
            <w:vAlign w:val="bottom"/>
          </w:tcPr>
          <w:p>
            <w:pPr>
              <w:spacing w:after="0"/>
              <w:rPr>
                <w:sz w:val="24"/>
                <w:szCs w:val="24"/>
                <w:color w:val="auto"/>
              </w:rPr>
            </w:pP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9"/>
        </w:trPr>
        <w:tc>
          <w:tcPr>
            <w:tcW w:w="40" w:type="dxa"/>
            <w:vAlign w:val="bottom"/>
          </w:tcPr>
          <w:p>
            <w:pPr>
              <w:spacing w:after="0"/>
              <w:rPr>
                <w:sz w:val="18"/>
                <w:szCs w:val="18"/>
                <w:color w:val="auto"/>
              </w:rPr>
            </w:pPr>
          </w:p>
        </w:tc>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Balance Sheets</w:t>
            </w: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9"/>
        </w:trPr>
        <w:tc>
          <w:tcPr>
            <w:tcW w:w="40" w:type="dxa"/>
            <w:vAlign w:val="bottom"/>
          </w:tcPr>
          <w:p>
            <w:pPr>
              <w:spacing w:after="0"/>
              <w:rPr>
                <w:sz w:val="18"/>
                <w:szCs w:val="18"/>
                <w:color w:val="auto"/>
              </w:rPr>
            </w:pPr>
          </w:p>
        </w:tc>
        <w:tc>
          <w:tcPr>
            <w:tcW w:w="3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Statements of Stockholders’ Equity (Deficit)</w:t>
            </w:r>
          </w:p>
        </w:tc>
        <w:tc>
          <w:tcPr>
            <w:tcW w:w="4800" w:type="dxa"/>
            <w:vAlign w:val="bottom"/>
            <w:gridSpan w:val="2"/>
          </w:tcPr>
          <w:p>
            <w:pPr>
              <w:spacing w:after="0"/>
              <w:rPr>
                <w:sz w:val="18"/>
                <w:szCs w:val="18"/>
                <w:color w:val="auto"/>
              </w:rPr>
            </w:pP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F-6</w:t>
            </w:r>
          </w:p>
        </w:tc>
      </w:tr>
      <w:tr>
        <w:trPr>
          <w:trHeight w:val="210"/>
        </w:trPr>
        <w:tc>
          <w:tcPr>
            <w:tcW w:w="40" w:type="dxa"/>
            <w:vAlign w:val="bottom"/>
          </w:tcPr>
          <w:p>
            <w:pPr>
              <w:spacing w:after="0"/>
              <w:rPr>
                <w:sz w:val="18"/>
                <w:szCs w:val="18"/>
                <w:color w:val="auto"/>
              </w:rPr>
            </w:pPr>
          </w:p>
        </w:tc>
        <w:tc>
          <w:tcPr>
            <w:tcW w:w="3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5260" w:type="dxa"/>
            <w:vAlign w:val="bottom"/>
            <w:gridSpan w:val="3"/>
          </w:tcPr>
          <w:p>
            <w:pPr>
              <w:spacing w:after="0"/>
              <w:rPr>
                <w:sz w:val="18"/>
                <w:szCs w:val="18"/>
                <w:color w:val="auto"/>
              </w:rPr>
            </w:pP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6320" w:type="dxa"/>
            <w:vAlign w:val="bottom"/>
            <w:gridSpan w:val="4"/>
          </w:tcPr>
          <w:p>
            <w:pPr>
              <w:spacing w:after="0"/>
              <w:rPr>
                <w:sz w:val="18"/>
                <w:szCs w:val="18"/>
                <w:color w:val="auto"/>
              </w:rPr>
            </w:pPr>
          </w:p>
        </w:tc>
        <w:tc>
          <w:tcPr>
            <w:tcW w:w="26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340" w:right="560" w:hanging="332"/>
        <w:spacing w:after="0" w:line="282" w:lineRule="auto"/>
        <w:tabs>
          <w:tab w:leader="none" w:pos="3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filed as part of this Annual Report on Form 10-K are set forth on the Exhibit Index included herein. The Exhibit Index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p>
      <w:pPr>
        <w:ind w:left="28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48" w:lineRule="exact"/>
        <w:rPr>
          <w:sz w:val="20"/>
          <w:szCs w:val="20"/>
          <w:color w:val="auto"/>
        </w:rPr>
      </w:pPr>
    </w:p>
    <w:p>
      <w:pPr>
        <w:ind w:left="1660" w:right="240" w:hanging="665"/>
        <w:spacing w:after="0" w:line="237" w:lineRule="auto"/>
        <w:tabs>
          <w:tab w:leader="none" w:pos="1640" w:val="left"/>
        </w:tabs>
        <w:rPr>
          <w:rFonts w:ascii="Times New Roman" w:cs="Times New Roman" w:eastAsia="Times New Roman" w:hAnsi="Times New Roman"/>
          <w:sz w:val="18"/>
          <w:szCs w:val="18"/>
          <w:u w:val="single" w:color="auto"/>
          <w:color w:val="0E32E1"/>
        </w:rPr>
      </w:pPr>
      <w:hyperlink r:id="rId102">
        <w:r>
          <w:rPr>
            <w:rFonts w:ascii="Times New Roman" w:cs="Times New Roman" w:eastAsia="Times New Roman" w:hAnsi="Times New Roman"/>
            <w:sz w:val="18"/>
            <w:szCs w:val="18"/>
            <w:u w:val="single" w:color="auto"/>
            <w:color w:val="0E32E1"/>
          </w:rPr>
          <w:t>3.1</w:t>
        </w:r>
      </w:hyperlink>
      <w:r>
        <w:rPr>
          <w:rFonts w:ascii="Times New Roman" w:cs="Times New Roman" w:eastAsia="Times New Roman" w:hAnsi="Times New Roman"/>
          <w:sz w:val="18"/>
          <w:szCs w:val="18"/>
          <w:u w:val="single" w:color="auto"/>
          <w:color w:val="0E32E1"/>
        </w:rPr>
        <w:tab/>
      </w:r>
      <w:hyperlink r:id="rId102">
        <w:r>
          <w:rPr>
            <w:rFonts w:ascii="Times New Roman" w:cs="Times New Roman" w:eastAsia="Times New Roman" w:hAnsi="Times New Roman"/>
            <w:sz w:val="18"/>
            <w:szCs w:val="18"/>
            <w:u w:val="single" w:color="auto"/>
            <w:color w:val="0E32E1"/>
          </w:rPr>
          <w:t>Amended and Restated Certificate of Incorporation of the Registrant (incorporated by reference to Exhibit 3.2 to the Registrant’s</w:t>
        </w:r>
      </w:hyperlink>
      <w:r>
        <w:rPr>
          <w:rFonts w:ascii="Times New Roman" w:cs="Times New Roman" w:eastAsia="Times New Roman" w:hAnsi="Times New Roman"/>
          <w:sz w:val="18"/>
          <w:szCs w:val="18"/>
          <w:u w:val="single" w:color="auto"/>
          <w:color w:val="0E32E1"/>
        </w:rPr>
        <w:t xml:space="preserve"> </w:t>
      </w:r>
      <w:hyperlink r:id="rId102">
        <w:r>
          <w:rPr>
            <w:rFonts w:ascii="Times New Roman" w:cs="Times New Roman" w:eastAsia="Times New Roman" w:hAnsi="Times New Roman"/>
            <w:sz w:val="18"/>
            <w:szCs w:val="18"/>
            <w:u w:val="single" w:color="auto"/>
            <w:color w:val="0E32E1"/>
          </w:rPr>
          <w:t>Amendment No. 2 to the Registration Statement on Form S-1, File No. 333-188595, filed on June 12, 2013)</w:t>
        </w:r>
      </w:hyperlink>
    </w:p>
    <w:p>
      <w:pPr>
        <w:spacing w:after="0" w:line="10" w:lineRule="exact"/>
        <w:rPr>
          <w:rFonts w:ascii="Times New Roman" w:cs="Times New Roman" w:eastAsia="Times New Roman" w:hAnsi="Times New Roman"/>
          <w:sz w:val="18"/>
          <w:szCs w:val="18"/>
          <w:u w:val="single" w:color="auto"/>
          <w:color w:val="0E32E1"/>
        </w:rPr>
      </w:pPr>
    </w:p>
    <w:p>
      <w:pPr>
        <w:ind w:left="1660" w:right="320" w:hanging="66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03">
        <w:r>
          <w:rPr>
            <w:rFonts w:ascii="Times New Roman" w:cs="Times New Roman" w:eastAsia="Times New Roman" w:hAnsi="Times New Roman"/>
            <w:sz w:val="18"/>
            <w:szCs w:val="18"/>
            <w:u w:val="single" w:color="auto"/>
            <w:color w:val="0000FF"/>
          </w:rPr>
          <w:t>Certificate of Amendment to Amended and Restated Certificate of Incorporation of the Registrant (incorporated by reference to</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Exhibit 3.1 to the Registrant’s Current Report on Form 8-K, File No. 001-35986, filed on May 26, 2022)</w:t>
        </w:r>
      </w:hyperlink>
    </w:p>
    <w:p>
      <w:pPr>
        <w:spacing w:after="0" w:line="10" w:lineRule="exact"/>
        <w:rPr>
          <w:rFonts w:ascii="Times New Roman" w:cs="Times New Roman" w:eastAsia="Times New Roman" w:hAnsi="Times New Roman"/>
          <w:sz w:val="18"/>
          <w:szCs w:val="18"/>
          <w:u w:val="single" w:color="auto"/>
          <w:color w:val="0000FF"/>
        </w:rPr>
      </w:pPr>
    </w:p>
    <w:p>
      <w:pPr>
        <w:ind w:left="1660" w:right="20" w:hanging="664"/>
        <w:spacing w:after="0" w:line="236" w:lineRule="auto"/>
        <w:tabs>
          <w:tab w:leader="none" w:pos="1640" w:val="left"/>
        </w:tabs>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8"/>
            <w:szCs w:val="18"/>
            <w:u w:val="single" w:color="auto"/>
            <w:color w:val="0000FF"/>
          </w:rPr>
          <w:t>3.3</w:t>
        </w:r>
      </w:hyperlink>
      <w:r>
        <w:rPr>
          <w:rFonts w:ascii="Times New Roman" w:cs="Times New Roman" w:eastAsia="Times New Roman" w:hAnsi="Times New Roman"/>
          <w:sz w:val="18"/>
          <w:szCs w:val="18"/>
          <w:u w:val="single" w:color="auto"/>
          <w:color w:val="0000FF"/>
        </w:rPr>
        <w:tab/>
      </w:r>
      <w:hyperlink r:id="rId104">
        <w:r>
          <w:rPr>
            <w:rFonts w:ascii="Times New Roman" w:cs="Times New Roman" w:eastAsia="Times New Roman" w:hAnsi="Times New Roman"/>
            <w:sz w:val="17"/>
            <w:szCs w:val="17"/>
            <w:u w:val="single" w:color="auto"/>
            <w:color w:val="0000FF"/>
          </w:rPr>
          <w:t>Certificate of Validation dated September 20, 2022 relating to Certificate of Amendment to the Amended and Restated Certificate</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of Incorporation of the Registrant dated May 26, 2022 (incorporated by reference to Exhibit 3.3 to the Registrant’s Quarterly Report</w:t>
        </w:r>
      </w:hyperlink>
    </w:p>
    <w:p>
      <w:pPr>
        <w:ind w:left="166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on Form 10-Q, File No. 001-35986, filed on November 1, 2022)</w:t>
        </w:r>
      </w:hyperlink>
    </w:p>
    <w:p>
      <w:pPr>
        <w:spacing w:after="0" w:line="7" w:lineRule="exact"/>
        <w:rPr>
          <w:rFonts w:ascii="Times New Roman" w:cs="Times New Roman" w:eastAsia="Times New Roman" w:hAnsi="Times New Roman"/>
          <w:sz w:val="18"/>
          <w:szCs w:val="18"/>
          <w:u w:val="single" w:color="auto"/>
          <w:color w:val="0000FF"/>
        </w:rPr>
      </w:pPr>
    </w:p>
    <w:p>
      <w:pPr>
        <w:ind w:left="1660" w:right="480" w:hanging="664"/>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3.4</w:t>
        </w:r>
      </w:hyperlink>
      <w:r>
        <w:rPr>
          <w:rFonts w:ascii="Times New Roman" w:cs="Times New Roman" w:eastAsia="Times New Roman" w:hAnsi="Times New Roman"/>
          <w:sz w:val="18"/>
          <w:szCs w:val="18"/>
          <w:u w:val="single" w:color="auto"/>
          <w:color w:val="0000FF"/>
        </w:rPr>
        <w:tab/>
      </w:r>
      <w:hyperlink r:id="rId106">
        <w:r>
          <w:rPr>
            <w:rFonts w:ascii="Times New Roman" w:cs="Times New Roman" w:eastAsia="Times New Roman" w:hAnsi="Times New Roman"/>
            <w:sz w:val="18"/>
            <w:szCs w:val="18"/>
            <w:u w:val="single" w:color="auto"/>
            <w:color w:val="0000FF"/>
          </w:rPr>
          <w:t>Second Amended and Restated Bylaws of the Registrant dated April 29, 2021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Registrant’s Quarterly Report on Form 10-Q, File No. 001-35986, filed on May 4, 2021)</w:t>
        </w:r>
      </w:hyperlink>
    </w:p>
    <w:p>
      <w:pPr>
        <w:spacing w:after="0" w:line="10" w:lineRule="exact"/>
        <w:rPr>
          <w:rFonts w:ascii="Times New Roman" w:cs="Times New Roman" w:eastAsia="Times New Roman" w:hAnsi="Times New Roman"/>
          <w:sz w:val="18"/>
          <w:szCs w:val="18"/>
          <w:u w:val="single" w:color="auto"/>
          <w:color w:val="0000FF"/>
        </w:rPr>
      </w:pPr>
    </w:p>
    <w:p>
      <w:pPr>
        <w:ind w:left="1660" w:right="680" w:hanging="665"/>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8"/>
            <w:szCs w:val="18"/>
            <w:u w:val="single" w:color="auto"/>
            <w:color w:val="0000FF"/>
          </w:rPr>
          <w:t>Specimen Common Stock Certificate (incorporated by reference to Exhibit 4.1 to the Registrant’s Amendment No. 2 to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Registration Statement on Form S-1, File No. 333-188595, filed on June 12, 2013)</w:t>
        </w:r>
      </w:hyperlink>
    </w:p>
    <w:p>
      <w:pPr>
        <w:spacing w:after="0" w:line="10" w:lineRule="exact"/>
        <w:rPr>
          <w:rFonts w:ascii="Times New Roman" w:cs="Times New Roman" w:eastAsia="Times New Roman" w:hAnsi="Times New Roman"/>
          <w:sz w:val="18"/>
          <w:szCs w:val="18"/>
          <w:u w:val="single" w:color="auto"/>
          <w:color w:val="0000FF"/>
        </w:rPr>
      </w:pPr>
    </w:p>
    <w:p>
      <w:pPr>
        <w:ind w:left="1660" w:right="380" w:hanging="665"/>
        <w:spacing w:after="0" w:line="256" w:lineRule="auto"/>
        <w:tabs>
          <w:tab w:leader="none" w:pos="1640" w:val="left"/>
        </w:tabs>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7"/>
            <w:szCs w:val="17"/>
            <w:u w:val="single" w:color="auto"/>
            <w:color w:val="0000FF"/>
          </w:rPr>
          <w:t>Investor Rights Agreement by and between the Registrant and certain of its stockholders dated April 28, 2008 (incorporated by</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reference to Exhibit 4.4 to the Registrant’s Registration Statement on Form S-1, File No. 333-188595, filed on May 14, 2013)</w:t>
        </w:r>
      </w:hyperlink>
    </w:p>
    <w:p>
      <w:pPr>
        <w:spacing w:after="0" w:line="1" w:lineRule="exact"/>
        <w:rPr>
          <w:rFonts w:ascii="Times New Roman" w:cs="Times New Roman" w:eastAsia="Times New Roman" w:hAnsi="Times New Roman"/>
          <w:sz w:val="18"/>
          <w:szCs w:val="18"/>
          <w:u w:val="single" w:color="auto"/>
          <w:color w:val="0000FF"/>
        </w:rPr>
      </w:pPr>
    </w:p>
    <w:p>
      <w:pPr>
        <w:ind w:left="1660" w:right="60" w:hanging="665"/>
        <w:spacing w:after="0" w:line="236" w:lineRule="auto"/>
        <w:tabs>
          <w:tab w:leader="none" w:pos="1640" w:val="left"/>
        </w:tabs>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7"/>
            <w:szCs w:val="17"/>
            <w:u w:val="single" w:color="auto"/>
            <w:color w:val="0000FF"/>
          </w:rPr>
          <w:t>Amendment No. 1 to Investor Rights Agreement by and between the Registrant and certain of its stockholders dated April 11, 2013</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(incorporated by reference to Exhibit 4.5 to the Registrant’s Registration Statement on Form S-1, File No. 333-188595, filed on</w:t>
        </w:r>
      </w:hyperlink>
    </w:p>
    <w:p>
      <w:pPr>
        <w:ind w:left="16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May 14, 2013)</w:t>
        </w:r>
      </w:hyperlink>
    </w:p>
    <w:p>
      <w:pPr>
        <w:spacing w:after="0" w:line="7" w:lineRule="exact"/>
        <w:rPr>
          <w:rFonts w:ascii="Times New Roman" w:cs="Times New Roman" w:eastAsia="Times New Roman" w:hAnsi="Times New Roman"/>
          <w:sz w:val="18"/>
          <w:szCs w:val="18"/>
          <w:u w:val="single" w:color="auto"/>
          <w:color w:val="0000FF"/>
        </w:rPr>
      </w:pPr>
    </w:p>
    <w:p>
      <w:pPr>
        <w:ind w:left="1660" w:right="280" w:hanging="665"/>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8"/>
            <w:szCs w:val="18"/>
            <w:u w:val="single" w:color="auto"/>
            <w:color w:val="0000FF"/>
          </w:rPr>
          <w:t>Description of Registrant's Securities (incorporated by reference to Exhibit 4.4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File No. 001-35986, filed on February 27, 2020)</w:t>
        </w:r>
      </w:hyperlink>
    </w:p>
    <w:p>
      <w:pPr>
        <w:spacing w:after="0" w:line="10" w:lineRule="exact"/>
        <w:rPr>
          <w:rFonts w:ascii="Times New Roman" w:cs="Times New Roman" w:eastAsia="Times New Roman" w:hAnsi="Times New Roman"/>
          <w:sz w:val="18"/>
          <w:szCs w:val="18"/>
          <w:u w:val="single" w:color="auto"/>
          <w:color w:val="0000FF"/>
        </w:rPr>
      </w:pPr>
    </w:p>
    <w:p>
      <w:pPr>
        <w:ind w:left="1660" w:right="100" w:hanging="665"/>
        <w:spacing w:after="0" w:line="256" w:lineRule="auto"/>
        <w:tabs>
          <w:tab w:leader="none" w:pos="1640" w:val="left"/>
        </w:tabs>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7"/>
            <w:szCs w:val="17"/>
            <w:u w:val="single" w:color="auto"/>
            <w:color w:val="0000FF"/>
          </w:rPr>
          <w:t>Indenture, dated as of November 16, 2020, between Esperion Therapeutics, Inc. and U.S. Bank National Association (incorporated</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by reference to Exhibit 4.1 to the Registrant’s Current Report on Form 8-K, File No. 001-35986, filed on November 16, 2020)</w:t>
        </w:r>
      </w:hyperlink>
    </w:p>
    <w:p>
      <w:pPr>
        <w:spacing w:after="0" w:line="1" w:lineRule="exact"/>
        <w:rPr>
          <w:rFonts w:ascii="Times New Roman" w:cs="Times New Roman" w:eastAsia="Times New Roman" w:hAnsi="Times New Roman"/>
          <w:sz w:val="18"/>
          <w:szCs w:val="18"/>
          <w:u w:val="single" w:color="auto"/>
          <w:color w:val="0000FF"/>
        </w:rPr>
      </w:pPr>
    </w:p>
    <w:p>
      <w:pPr>
        <w:ind w:left="1660" w:right="580" w:hanging="665"/>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4.6</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8"/>
            <w:szCs w:val="18"/>
            <w:u w:val="single" w:color="auto"/>
            <w:color w:val="0000FF"/>
          </w:rPr>
          <w:t>Form of 4.00% Convertible Senior Subordinated Note due 2025 (incorporated by reference to Exhibit 4.1 to the Registrant’s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Current Report on Form 8-K, File No. 001-35986, filed on November 16, 2020)</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1000"/>
        <w:spacing w:after="0" w:line="22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4.7     Registration Rights and Securityholder Agreement by and between the Registrant and Pfizer Inc. dated April 28, 2008 (incorporated</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by reference to Exhibit 4.6 to the Registrant’s Registration Statement on Form S-1, as amended (File No. 333-188595) filed on May</w:t>
        </w:r>
      </w:hyperlink>
    </w:p>
    <w:p>
      <w:pPr>
        <w:spacing w:after="0" w:line="2" w:lineRule="exact"/>
        <w:rPr>
          <w:sz w:val="20"/>
          <w:szCs w:val="20"/>
          <w:color w:val="auto"/>
        </w:rPr>
      </w:pPr>
    </w:p>
    <w:p>
      <w:pPr>
        <w:ind w:left="16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14, 2013).</w:t>
        </w:r>
      </w:hyperlink>
    </w:p>
    <w:p>
      <w:pPr>
        <w:spacing w:after="0" w:line="7" w:lineRule="exact"/>
        <w:rPr>
          <w:sz w:val="20"/>
          <w:szCs w:val="20"/>
          <w:color w:val="auto"/>
        </w:rPr>
      </w:pPr>
    </w:p>
    <w:p>
      <w:pPr>
        <w:ind w:left="1660" w:right="100" w:hanging="665"/>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4.8</w:t>
        </w:r>
      </w:hyperlink>
      <w:r>
        <w:rPr>
          <w:rFonts w:ascii="Times New Roman" w:cs="Times New Roman" w:eastAsia="Times New Roman" w:hAnsi="Times New Roman"/>
          <w:sz w:val="18"/>
          <w:szCs w:val="18"/>
          <w:u w:val="single" w:color="auto"/>
          <w:color w:val="0000FF"/>
        </w:rPr>
        <w:tab/>
      </w:r>
      <w:hyperlink r:id="rId113">
        <w:r>
          <w:rPr>
            <w:rFonts w:ascii="Times New Roman" w:cs="Times New Roman" w:eastAsia="Times New Roman" w:hAnsi="Times New Roman"/>
            <w:sz w:val="18"/>
            <w:szCs w:val="18"/>
            <w:u w:val="single" w:color="auto"/>
            <w:color w:val="0000FF"/>
          </w:rPr>
          <w:t>Form of Warrant to Purchase Preferred Stock dated September 4, 2012 (incorporated by reference to Exhibit 4.3 to the Registrant’s</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Registration Statement on Form S-1, as amended (File No. 333-188595) filed on May 14, 2013).</w:t>
        </w:r>
      </w:hyperlink>
    </w:p>
    <w:p>
      <w:pPr>
        <w:spacing w:after="0" w:line="10" w:lineRule="exact"/>
        <w:rPr>
          <w:rFonts w:ascii="Times New Roman" w:cs="Times New Roman" w:eastAsia="Times New Roman" w:hAnsi="Times New Roman"/>
          <w:sz w:val="18"/>
          <w:szCs w:val="18"/>
          <w:u w:val="single" w:color="auto"/>
          <w:color w:val="0000FF"/>
        </w:rPr>
      </w:pPr>
    </w:p>
    <w:p>
      <w:pPr>
        <w:ind w:left="1660" w:right="80" w:hanging="845"/>
        <w:spacing w:after="0" w:line="256" w:lineRule="auto"/>
        <w:tabs>
          <w:tab w:leader="none" w:pos="1640" w:val="left"/>
        </w:tabs>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14">
        <w:r>
          <w:rPr>
            <w:rFonts w:ascii="Times New Roman" w:cs="Times New Roman" w:eastAsia="Times New Roman" w:hAnsi="Times New Roman"/>
            <w:sz w:val="17"/>
            <w:szCs w:val="17"/>
            <w:u w:val="single" w:color="auto"/>
            <w:color w:val="0000FF"/>
          </w:rPr>
          <w:t>License Agreement between Pfizer Inc. and the Registrant dated April 28, 2008 and amended on November 17, 2010 (incorporated</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by reference to Exhibit 10.7 to the Registrant’s Registration Statement on Form S-1, File No. 333-188595, filed on May 14, 2013)</w:t>
        </w:r>
      </w:hyperlink>
    </w:p>
    <w:p>
      <w:pPr>
        <w:spacing w:after="0" w:line="1" w:lineRule="exact"/>
        <w:rPr>
          <w:rFonts w:ascii="Times New Roman" w:cs="Times New Roman" w:eastAsia="Times New Roman" w:hAnsi="Times New Roman"/>
          <w:sz w:val="18"/>
          <w:szCs w:val="18"/>
          <w:u w:val="single" w:color="auto"/>
          <w:color w:val="0000FF"/>
        </w:rPr>
      </w:pPr>
    </w:p>
    <w:p>
      <w:pPr>
        <w:ind w:left="1660" w:right="140" w:hanging="755"/>
        <w:spacing w:after="0" w:line="256" w:lineRule="auto"/>
        <w:tabs>
          <w:tab w:leader="none" w:pos="1640" w:val="left"/>
        </w:tabs>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7"/>
            <w:szCs w:val="17"/>
            <w:u w:val="single" w:color="auto"/>
            <w:color w:val="0000FF"/>
          </w:rPr>
          <w:t>Valley Ranch Business Park Lease by and between the Registrant and McMullen SPE, LLC, dated February 4, 2014 (incorporated</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by reference to Exhibit 10.1 to the Registrant’s Current Report on Form 8-K, File No. 001-35986, filed on February 7, 2014)</w:t>
        </w:r>
      </w:hyperlink>
    </w:p>
    <w:p>
      <w:pPr>
        <w:ind w:left="900"/>
        <w:spacing w:after="0"/>
        <w:tabs>
          <w:tab w:leader="none" w:pos="1640" w:val="left"/>
        </w:tabs>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18">
        <w:r>
          <w:rPr>
            <w:rFonts w:ascii="Times New Roman" w:cs="Times New Roman" w:eastAsia="Times New Roman" w:hAnsi="Times New Roman"/>
            <w:sz w:val="17"/>
            <w:szCs w:val="17"/>
            <w:u w:val="single" w:color="auto"/>
            <w:color w:val="0000FF"/>
          </w:rPr>
          <w:t>Form of Officer Indemnification Agreement entered into between the Registrant and its officers (incorporated by reference to</w:t>
        </w:r>
      </w:hyperlink>
    </w:p>
    <w:p>
      <w:pPr>
        <w:ind w:left="166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Exhibit 10.8 to the Registrant’s Registration Statement on Form S-1, File No. 333-188595, filed on May 14, 2013)</w:t>
        </w:r>
      </w:hyperlink>
    </w:p>
    <w:p>
      <w:pPr>
        <w:spacing w:after="0" w:line="16" w:lineRule="exact"/>
        <w:rPr>
          <w:sz w:val="20"/>
          <w:szCs w:val="20"/>
          <w:color w:val="auto"/>
        </w:rPr>
      </w:pPr>
    </w:p>
    <w:p>
      <w:pPr>
        <w:ind w:left="1660" w:right="320" w:hanging="755"/>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19">
        <w:r>
          <w:rPr>
            <w:rFonts w:ascii="Times New Roman" w:cs="Times New Roman" w:eastAsia="Times New Roman" w:hAnsi="Times New Roman"/>
            <w:sz w:val="18"/>
            <w:szCs w:val="18"/>
            <w:u w:val="single" w:color="auto"/>
            <w:color w:val="0000FF"/>
          </w:rPr>
          <w:t>Form of Director Indemnification Agreement entered into between the Registrant and its directors (incorporated by reference to</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Exhibit 10.9 to the Registrant’s Registration Statement on Form S-1, File No. 333-188595, filed on May 14, 2013)</w:t>
        </w:r>
      </w:hyperlink>
    </w:p>
    <w:p>
      <w:pPr>
        <w:spacing w:after="0" w:line="10" w:lineRule="exact"/>
        <w:rPr>
          <w:rFonts w:ascii="Times New Roman" w:cs="Times New Roman" w:eastAsia="Times New Roman" w:hAnsi="Times New Roman"/>
          <w:sz w:val="18"/>
          <w:szCs w:val="18"/>
          <w:u w:val="single" w:color="auto"/>
          <w:color w:val="0000FF"/>
        </w:rPr>
      </w:pPr>
    </w:p>
    <w:p>
      <w:pPr>
        <w:ind w:left="1660" w:right="280" w:hanging="84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20">
        <w:r>
          <w:rPr>
            <w:rFonts w:ascii="Times New Roman" w:cs="Times New Roman" w:eastAsia="Times New Roman" w:hAnsi="Times New Roman"/>
            <w:sz w:val="18"/>
            <w:szCs w:val="18"/>
            <w:u w:val="single" w:color="auto"/>
            <w:color w:val="0000FF"/>
          </w:rPr>
          <w:t>Amended and Restated 2013 Stock Option and Incentive Plan and forms of agreements thereunder (incorporated by reference to</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Exhibit 10.1 of the Registrant’s Quarterly Report on Form 10-Q, File No. 001-35986, filed on November 3, 2016).</w:t>
        </w:r>
      </w:hyperlink>
    </w:p>
    <w:p>
      <w:pPr>
        <w:spacing w:after="0" w:line="10" w:lineRule="exact"/>
        <w:rPr>
          <w:rFonts w:ascii="Times New Roman" w:cs="Times New Roman" w:eastAsia="Times New Roman" w:hAnsi="Times New Roman"/>
          <w:sz w:val="18"/>
          <w:szCs w:val="18"/>
          <w:u w:val="single" w:color="auto"/>
          <w:color w:val="0000FF"/>
        </w:rPr>
      </w:pPr>
    </w:p>
    <w:p>
      <w:pPr>
        <w:ind w:left="1660" w:right="140" w:hanging="84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21">
        <w:r>
          <w:rPr>
            <w:rFonts w:ascii="Times New Roman" w:cs="Times New Roman" w:eastAsia="Times New Roman" w:hAnsi="Times New Roman"/>
            <w:sz w:val="18"/>
            <w:szCs w:val="18"/>
            <w:u w:val="single" w:color="auto"/>
            <w:color w:val="0000FF"/>
          </w:rPr>
          <w:t>Employment Agreement by and between the Registrant and Richard B. Bartram dated May 14, 2015 (incorporated by reference to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Exhibit 10.12 to the Registrant's Annual Report on Form 10-K, File No. 001-35986 filed on February 28, 2019)</w:t>
        </w:r>
      </w:hyperlink>
    </w:p>
    <w:p>
      <w:pPr>
        <w:spacing w:after="0" w:line="10" w:lineRule="exact"/>
        <w:rPr>
          <w:rFonts w:ascii="Times New Roman" w:cs="Times New Roman" w:eastAsia="Times New Roman" w:hAnsi="Times New Roman"/>
          <w:sz w:val="18"/>
          <w:szCs w:val="18"/>
          <w:u w:val="single" w:color="auto"/>
          <w:color w:val="0000FF"/>
        </w:rPr>
      </w:pPr>
    </w:p>
    <w:p>
      <w:pPr>
        <w:ind w:left="1660" w:right="860" w:hanging="845"/>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8"/>
            <w:szCs w:val="18"/>
            <w:u w:val="single" w:color="auto"/>
            <w:color w:val="0000FF"/>
          </w:rPr>
          <w:t>2017 Inducement Equity Plan and form of award agreement thereunder (incorporated by reference to Exhibit 99.1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Registrant’s Registration Statement on Form S-8, File No. 333-218084, filed on May 18, 2017).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4"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60" w:right="60" w:hanging="755"/>
        <w:spacing w:after="0" w:line="222" w:lineRule="auto"/>
        <w:tabs>
          <w:tab w:leader="none" w:pos="1640" w:val="left"/>
        </w:tabs>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26">
        <w:r>
          <w:rPr>
            <w:rFonts w:ascii="Times New Roman" w:cs="Times New Roman" w:eastAsia="Times New Roman" w:hAnsi="Times New Roman"/>
            <w:sz w:val="18"/>
            <w:szCs w:val="18"/>
            <w:u w:val="single" w:color="auto"/>
            <w:color w:val="0000FF"/>
          </w:rPr>
          <w:t>First Amendment to Valley Ranch Business Park Lease, dated July 6, 2018, between the Registrant and Blackbird Ann Arbor, LLC</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(incorporated by reference to Exhibit 10.1 to the Registrant’s Quarterly Report on Form 10-Q, File No. 001-35986, filed on</w:t>
        </w:r>
      </w:hyperlink>
    </w:p>
    <w:p>
      <w:pPr>
        <w:spacing w:after="0" w:line="2" w:lineRule="exact"/>
        <w:rPr>
          <w:rFonts w:ascii="Times New Roman" w:cs="Times New Roman" w:eastAsia="Times New Roman" w:hAnsi="Times New Roman"/>
          <w:sz w:val="18"/>
          <w:szCs w:val="18"/>
          <w:u w:val="single" w:color="auto"/>
          <w:color w:val="0000FF"/>
        </w:rPr>
      </w:pPr>
    </w:p>
    <w:p>
      <w:pPr>
        <w:ind w:left="166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August 2, 2018)</w:t>
        </w:r>
      </w:hyperlink>
    </w:p>
    <w:p>
      <w:pPr>
        <w:jc w:val="right"/>
        <w:ind w:right="360"/>
        <w:spacing w:after="0"/>
        <w:tabs>
          <w:tab w:leader="none" w:pos="9480" w:val="left"/>
        </w:tabs>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9*</w:t>
        <w:tab/>
      </w:r>
      <w:hyperlink r:id="rId127">
        <w:r>
          <w:rPr>
            <w:rFonts w:ascii="Times New Roman" w:cs="Times New Roman" w:eastAsia="Times New Roman" w:hAnsi="Times New Roman"/>
            <w:sz w:val="17"/>
            <w:szCs w:val="17"/>
            <w:u w:val="single" w:color="auto"/>
            <w:color w:val="0000FF"/>
          </w:rPr>
          <w:t>License and Collaboration Agreement by and between Daiichi Sankyo Europe GmbH and the Company, dated as of January 2,</w:t>
        </w:r>
      </w:hyperlink>
    </w:p>
    <w:p>
      <w:pPr>
        <w:jc w:val="right"/>
        <w:ind w:right="360"/>
        <w:spacing w:after="0" w:line="219"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2019 (incorporated by reference to Exhibit 10.16 to the Registrant's Annual Report on Form 10-K, File No. 001-35986 filed on</w:t>
        </w:r>
      </w:hyperlink>
    </w:p>
    <w:p>
      <w:pPr>
        <w:ind w:left="166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February 28, 2019)</w:t>
        </w:r>
      </w:hyperlink>
    </w:p>
    <w:p>
      <w:pPr>
        <w:spacing w:after="0" w:line="7" w:lineRule="exact"/>
        <w:rPr>
          <w:sz w:val="20"/>
          <w:szCs w:val="20"/>
          <w:color w:val="auto"/>
        </w:rPr>
      </w:pPr>
    </w:p>
    <w:p>
      <w:pPr>
        <w:ind w:left="1660" w:right="40" w:hanging="844"/>
        <w:spacing w:after="0" w:line="220" w:lineRule="auto"/>
        <w:tabs>
          <w:tab w:leader="none" w:pos="164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29">
        <w:r>
          <w:rPr>
            <w:rFonts w:ascii="Times New Roman" w:cs="Times New Roman" w:eastAsia="Times New Roman" w:hAnsi="Times New Roman"/>
            <w:sz w:val="18"/>
            <w:szCs w:val="18"/>
            <w:u w:val="single" w:color="auto"/>
            <w:color w:val="0000FF"/>
          </w:rPr>
          <w:t>Revenue Interest Purchase Agreement by and between the Company, Eiger III SA LLC, and the Purchasers named therein, dated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June 26, 2019 (incorporated by reference to Exhibit 10.1 to the Registrant's Current Report on Form 8-K, File No. 001-35986, filed</w:t>
        </w:r>
      </w:hyperlink>
    </w:p>
    <w:p>
      <w:pPr>
        <w:ind w:left="166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on June 26, 2019)</w:t>
        </w:r>
      </w:hyperlink>
    </w:p>
    <w:p>
      <w:pPr>
        <w:spacing w:after="0" w:line="7" w:lineRule="exact"/>
        <w:rPr>
          <w:rFonts w:ascii="Times New Roman" w:cs="Times New Roman" w:eastAsia="Times New Roman" w:hAnsi="Times New Roman"/>
          <w:sz w:val="18"/>
          <w:szCs w:val="18"/>
          <w:u w:val="single" w:color="auto"/>
          <w:color w:val="0000FF"/>
        </w:rPr>
      </w:pPr>
    </w:p>
    <w:p>
      <w:pPr>
        <w:ind w:left="1660" w:right="20" w:hanging="934"/>
        <w:spacing w:after="0" w:line="266" w:lineRule="auto"/>
        <w:tabs>
          <w:tab w:leader="none" w:pos="1640" w:val="left"/>
        </w:tabs>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31">
        <w:r>
          <w:rPr>
            <w:rFonts w:ascii="Times New Roman" w:cs="Times New Roman" w:eastAsia="Times New Roman" w:hAnsi="Times New Roman"/>
            <w:sz w:val="18"/>
            <w:szCs w:val="18"/>
            <w:u w:val="single" w:color="auto"/>
            <w:color w:val="0000FF"/>
          </w:rPr>
          <w:t>First Amendment to 2017 Inducement Equity Plan (incorporated by reference to Exhibit 10.16 to the Registrant’s Annual Report on</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Form 10-K, File No. 001-35986, filed on February 27, 2020)</w:t>
        </w:r>
      </w:hyperlink>
    </w:p>
    <w:p>
      <w:pPr>
        <w:spacing w:after="0" w:line="9" w:lineRule="exact"/>
        <w:rPr>
          <w:rFonts w:ascii="Times New Roman" w:cs="Times New Roman" w:eastAsia="Times New Roman" w:hAnsi="Times New Roman"/>
          <w:sz w:val="18"/>
          <w:szCs w:val="18"/>
          <w:u w:val="single" w:color="auto"/>
          <w:color w:val="0000FF"/>
        </w:rPr>
      </w:pPr>
    </w:p>
    <w:p>
      <w:pPr>
        <w:ind w:left="1660" w:right="360" w:hanging="93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8"/>
            <w:szCs w:val="18"/>
            <w:u w:val="single" w:color="auto"/>
            <w:color w:val="0000FF"/>
          </w:rPr>
          <w:t>Esperion Therapeutics, Inc. 2020 Employee Stock Purchase Plan, as amended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Registrant’s Quarterly Report on Form 10-Q, File No. 001-35986, filed on August 10, 2020)</w:t>
        </w:r>
      </w:hyperlink>
    </w:p>
    <w:p>
      <w:pPr>
        <w:spacing w:after="0" w:line="10" w:lineRule="exact"/>
        <w:rPr>
          <w:rFonts w:ascii="Times New Roman" w:cs="Times New Roman" w:eastAsia="Times New Roman" w:hAnsi="Times New Roman"/>
          <w:sz w:val="18"/>
          <w:szCs w:val="18"/>
          <w:u w:val="single" w:color="auto"/>
          <w:color w:val="0000FF"/>
        </w:rPr>
      </w:pPr>
    </w:p>
    <w:p>
      <w:pPr>
        <w:ind w:left="1660" w:right="60" w:hanging="934"/>
        <w:spacing w:after="0" w:line="236" w:lineRule="auto"/>
        <w:tabs>
          <w:tab w:leader="none" w:pos="1640" w:val="left"/>
        </w:tabs>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7"/>
            <w:szCs w:val="17"/>
            <w:u w:val="single" w:color="auto"/>
            <w:color w:val="0000FF"/>
          </w:rPr>
          <w:t>License and Collaboration Agreement by and between the Company and Otsuka Pharmaceutical Co., Ltd. dated April 17, 2020</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(incorporated by reference to Exhibit 10.2 of the Registrant’s Quarterly Report on Form 10-Q, File No. 001-35986, filed on August</w:t>
        </w:r>
      </w:hyperlink>
    </w:p>
    <w:p>
      <w:pPr>
        <w:ind w:left="166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10, 2020)</w:t>
        </w:r>
      </w:hyperlink>
    </w:p>
    <w:p>
      <w:pPr>
        <w:spacing w:after="0" w:line="7" w:lineRule="exact"/>
        <w:rPr>
          <w:rFonts w:ascii="Times New Roman" w:cs="Times New Roman" w:eastAsia="Times New Roman" w:hAnsi="Times New Roman"/>
          <w:sz w:val="18"/>
          <w:szCs w:val="18"/>
          <w:u w:val="single" w:color="auto"/>
          <w:color w:val="0000FF"/>
        </w:rPr>
      </w:pPr>
    </w:p>
    <w:p>
      <w:pPr>
        <w:jc w:val="right"/>
        <w:ind w:left="720" w:right="220"/>
        <w:spacing w:after="0" w:line="220"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10.14*     1st Amendment to the License and Collaboration Agreement by and between the Registrant and Daiichi Sankyo Europe GMBH</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dated June 18, 2020 (incorporated by reference to Exhibit 10.3 of the Registrant’s Quarterly Report on Form 10-Q, File No. 001-</w:t>
        </w:r>
      </w:hyperlink>
    </w:p>
    <w:p>
      <w:pPr>
        <w:ind w:left="166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35986, filed on August 10, 2020)</w:t>
        </w:r>
      </w:hyperlink>
    </w:p>
    <w:p>
      <w:pPr>
        <w:spacing w:after="0" w:line="7" w:lineRule="exact"/>
        <w:rPr>
          <w:sz w:val="20"/>
          <w:szCs w:val="20"/>
          <w:color w:val="auto"/>
        </w:rPr>
      </w:pPr>
    </w:p>
    <w:p>
      <w:pPr>
        <w:ind w:left="1660" w:right="60" w:hanging="844"/>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Form of Capped Call Confirmation (incorporated by reference to Exhibit 10.1 to the Registrant’s Current Report on Form 8-K, File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No. 001-35986, filed on November 16, 2020)</w:t>
        </w:r>
      </w:hyperlink>
    </w:p>
    <w:p>
      <w:pPr>
        <w:spacing w:after="0" w:line="10" w:lineRule="exact"/>
        <w:rPr>
          <w:rFonts w:ascii="Times New Roman" w:cs="Times New Roman" w:eastAsia="Times New Roman" w:hAnsi="Times New Roman"/>
          <w:sz w:val="18"/>
          <w:szCs w:val="18"/>
          <w:u w:val="single" w:color="auto"/>
          <w:color w:val="0000FF"/>
        </w:rPr>
      </w:pPr>
    </w:p>
    <w:p>
      <w:pPr>
        <w:ind w:left="1660" w:right="60" w:hanging="844"/>
        <w:spacing w:after="0" w:line="236" w:lineRule="auto"/>
        <w:tabs>
          <w:tab w:leader="none" w:pos="164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7"/>
            <w:szCs w:val="17"/>
            <w:u w:val="single" w:color="auto"/>
            <w:color w:val="0000FF"/>
          </w:rPr>
          <w:t>Forward Stock Purchase Confirmation, dated November 11, 2020, by and between the Company and Morgan Stanley &amp; Co. LLC</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(incorporated by reference to Exhibit 10.2 to the Registrant’s Current Report on Form 8-K, File No. 001-35986, filed on November</w:t>
        </w:r>
      </w:hyperlink>
    </w:p>
    <w:p>
      <w:pPr>
        <w:ind w:left="166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16, 2020)</w:t>
        </w:r>
      </w:hyperlink>
    </w:p>
    <w:p>
      <w:pPr>
        <w:spacing w:after="0" w:line="7" w:lineRule="exact"/>
        <w:rPr>
          <w:rFonts w:ascii="Times New Roman" w:cs="Times New Roman" w:eastAsia="Times New Roman" w:hAnsi="Times New Roman"/>
          <w:sz w:val="18"/>
          <w:szCs w:val="18"/>
          <w:u w:val="single" w:color="auto"/>
          <w:color w:val="0000FF"/>
        </w:rPr>
      </w:pPr>
    </w:p>
    <w:p>
      <w:pPr>
        <w:ind w:left="1660" w:right="500" w:hanging="844"/>
        <w:spacing w:after="0" w:line="233" w:lineRule="auto"/>
        <w:tabs>
          <w:tab w:leader="none" w:pos="1640" w:val="left"/>
        </w:tabs>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7"/>
            <w:szCs w:val="17"/>
            <w:u w:val="single" w:color="auto"/>
            <w:color w:val="0000FF"/>
          </w:rPr>
          <w:t>Amendment No. 1 to the Revenue Interest Purchase Agreement, dated November 11, 2020, by and among the Registrant, the</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purchasers from time to time party thereto and Eiger III SA LLC, as the purchaser agent, dated effective as of June 26, 2019</w:t>
        </w:r>
      </w:hyperlink>
    </w:p>
    <w:p>
      <w:pPr>
        <w:ind w:left="1660"/>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(incorporated by reference to Exhibit 10.22 to the Registrant’s Annual Report on Form 10-K, File No. 001-35986, filed on February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23, 2021)</w:t>
        </w:r>
      </w:hyperlink>
    </w:p>
    <w:p>
      <w:pPr>
        <w:ind w:left="720"/>
        <w:spacing w:after="0" w:line="234" w:lineRule="auto"/>
        <w:tabs>
          <w:tab w:leader="none" w:pos="1640" w:val="left"/>
        </w:tabs>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7"/>
            <w:szCs w:val="17"/>
            <w:u w:val="single" w:color="auto"/>
            <w:color w:val="0000FF"/>
          </w:rPr>
          <w:t>Exchange Agreement, dated October 22, 2021, by and between the Registrant and the Holders (incorporated by reference to Exhibit</w:t>
        </w:r>
      </w:hyperlink>
    </w:p>
    <w:p>
      <w:pPr>
        <w:ind w:left="166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10.1 to the Registrant’s Current Report on Form 8-K, File No. 001-35986, filed on October 25, 2021)</w:t>
        </w:r>
      </w:hyperlink>
    </w:p>
    <w:p>
      <w:pPr>
        <w:spacing w:after="0" w:line="16" w:lineRule="exact"/>
        <w:rPr>
          <w:sz w:val="20"/>
          <w:szCs w:val="20"/>
          <w:color w:val="auto"/>
        </w:rPr>
      </w:pPr>
    </w:p>
    <w:p>
      <w:pPr>
        <w:jc w:val="right"/>
        <w:ind w:left="720" w:right="60"/>
        <w:spacing w:after="0" w:line="222"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 xml:space="preserve">10.19*     </w:t>
        </w:r>
      </w:hyperlink>
      <w:hyperlink r:id="rId142">
        <w:r>
          <w:rPr>
            <w:rFonts w:ascii="Times New Roman" w:cs="Times New Roman" w:eastAsia="Times New Roman" w:hAnsi="Times New Roman"/>
            <w:sz w:val="18"/>
            <w:szCs w:val="18"/>
            <w:u w:val="single" w:color="auto"/>
            <w:color w:val="0000FF"/>
          </w:rPr>
          <w:t>License and Collaboration Agreement, by and between the Registrant and Daiichi Sankyo Company, Limited dated April 26, 2021</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(incorporated by reference to Exhibit 10.1 to the Registrant’s Quarterly Report on Form 10-Q, File No. 001-35986, filed on August</w:t>
        </w:r>
      </w:hyperlink>
    </w:p>
    <w:p>
      <w:pPr>
        <w:spacing w:after="0" w:line="2" w:lineRule="exact"/>
        <w:rPr>
          <w:rFonts w:ascii="Times New Roman" w:cs="Times New Roman" w:eastAsia="Times New Roman" w:hAnsi="Times New Roman"/>
          <w:sz w:val="18"/>
          <w:szCs w:val="18"/>
          <w:u w:val="single" w:color="auto"/>
          <w:color w:val="0000FF"/>
        </w:rPr>
      </w:pPr>
    </w:p>
    <w:p>
      <w:pPr>
        <w:ind w:left="166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3, 2021)</w:t>
        </w:r>
      </w:hyperlink>
    </w:p>
    <w:p>
      <w:pPr>
        <w:jc w:val="right"/>
        <w:spacing w:after="0"/>
        <w:tabs>
          <w:tab w:leader="none" w:pos="9480" w:val="left"/>
        </w:tabs>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20</w:t>
        <w:tab/>
      </w:r>
      <w:hyperlink r:id="rId144">
        <w:r>
          <w:rPr>
            <w:rFonts w:ascii="Times New Roman" w:cs="Times New Roman" w:eastAsia="Times New Roman" w:hAnsi="Times New Roman"/>
            <w:sz w:val="17"/>
            <w:szCs w:val="17"/>
            <w:u w:val="single" w:color="auto"/>
            <w:color w:val="0000FF"/>
          </w:rPr>
          <w:t>Amendment No. 2 to the Revenue Interest Purchase Agreement, by and among the Registrant and the parties thereto dated April 26,</w:t>
        </w:r>
      </w:hyperlink>
    </w:p>
    <w:p>
      <w:pPr>
        <w:jc w:val="right"/>
        <w:ind w:right="20"/>
        <w:spacing w:after="0" w:line="219"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2021 (incorporated by reference to Exhibit 10.1 to the Registrant’s Current Report on Form 8-K, File No. 001-35986, filed on April</w:t>
        </w:r>
      </w:hyperlink>
    </w:p>
    <w:p>
      <w:pPr>
        <w:ind w:left="166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26, 2021)</w:t>
        </w:r>
      </w:hyperlink>
    </w:p>
    <w:p>
      <w:pPr>
        <w:spacing w:after="0" w:line="7" w:lineRule="exact"/>
        <w:rPr>
          <w:sz w:val="20"/>
          <w:szCs w:val="20"/>
          <w:color w:val="auto"/>
        </w:rPr>
      </w:pPr>
    </w:p>
    <w:p>
      <w:pPr>
        <w:ind w:left="1660" w:right="100" w:hanging="844"/>
        <w:spacing w:after="0" w:line="233" w:lineRule="auto"/>
        <w:tabs>
          <w:tab w:leader="none" w:pos="1640" w:val="left"/>
        </w:tabs>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46">
        <w:r>
          <w:rPr>
            <w:rFonts w:ascii="Times New Roman" w:cs="Times New Roman" w:eastAsia="Times New Roman" w:hAnsi="Times New Roman"/>
            <w:sz w:val="17"/>
            <w:szCs w:val="17"/>
            <w:u w:val="single" w:color="auto"/>
            <w:color w:val="0000FF"/>
          </w:rPr>
          <w:t>2nd Amendment to the License and Collaboration Agreement by and between the Registrant and Daiichi Sankyo Europe GMBH</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dated March 19, 2021 (incorporated by reference to Exhibit 10.1 to the Registrant’s Quarterly Report on Form 10-Q, File No. 001-</w:t>
        </w:r>
      </w:hyperlink>
    </w:p>
    <w:p>
      <w:pPr>
        <w:ind w:left="166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35986, filed on May 4, 2021)</w:t>
        </w:r>
      </w:hyperlink>
    </w:p>
    <w:p>
      <w:pPr>
        <w:spacing w:after="0" w:line="7" w:lineRule="exact"/>
        <w:rPr>
          <w:rFonts w:ascii="Times New Roman" w:cs="Times New Roman" w:eastAsia="Times New Roman" w:hAnsi="Times New Roman"/>
          <w:sz w:val="18"/>
          <w:szCs w:val="18"/>
          <w:u w:val="single" w:color="auto"/>
          <w:color w:val="0000FF"/>
        </w:rPr>
      </w:pPr>
    </w:p>
    <w:p>
      <w:pPr>
        <w:ind w:left="1660" w:right="600" w:hanging="934"/>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2022 Stock Option and Incentive Plan and forms of agreements thereunder (incorporated by reference to Exhibit 99.1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Registrant’s Registration Statement on Form S-8, File No. 333-265247, filed on May 26, 2022)</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720" w:right="520"/>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10.23#     Employment Agreement, dated November 16, 2022, by and between the Registrant and Benjamin Halladay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10.1 to the Registrant's Current Report on Form 8-K, File No. 001-35986, filed on November 16, 2022)</w:t>
        </w:r>
      </w:hyperlink>
    </w:p>
    <w:p>
      <w:pPr>
        <w:spacing w:after="0" w:line="10" w:lineRule="exact"/>
        <w:rPr>
          <w:sz w:val="20"/>
          <w:szCs w:val="20"/>
          <w:color w:val="auto"/>
        </w:rPr>
      </w:pPr>
    </w:p>
    <w:p>
      <w:pPr>
        <w:ind w:left="1660" w:right="260" w:hanging="1024"/>
        <w:spacing w:after="0" w:line="236" w:lineRule="auto"/>
        <w:tabs>
          <w:tab w:leader="none" w:pos="1640" w:val="left"/>
        </w:tabs>
        <w:rPr>
          <w:sz w:val="20"/>
          <w:szCs w:val="20"/>
          <w:color w:val="auto"/>
        </w:rPr>
      </w:pPr>
      <w:r>
        <w:rPr>
          <w:rFonts w:ascii="Times New Roman" w:cs="Times New Roman" w:eastAsia="Times New Roman" w:hAnsi="Times New Roman"/>
          <w:sz w:val="18"/>
          <w:szCs w:val="18"/>
          <w:u w:val="single" w:color="auto"/>
          <w:color w:val="0000FF"/>
        </w:rPr>
        <w:t>10.24**</w:t>
      </w:r>
      <w:r>
        <w:rPr>
          <w:sz w:val="20"/>
          <w:szCs w:val="20"/>
          <w:color w:val="auto"/>
        </w:rPr>
        <w:tab/>
      </w:r>
      <w:r>
        <w:rPr>
          <w:rFonts w:ascii="Times New Roman" w:cs="Times New Roman" w:eastAsia="Times New Roman" w:hAnsi="Times New Roman"/>
          <w:sz w:val="17"/>
          <w:szCs w:val="17"/>
          <w:u w:val="single" w:color="auto"/>
          <w:color w:val="0000FF"/>
        </w:rPr>
        <w:t>Waiver and Amendment No. 3 to Revenue Interest Purchase Agreement and Amendment No. 2 to Security Agreement, by and among the Registrant, the purchasers party thereto, and Eiger III SA LLC, as the collateral agent and administrative agent, dated</w:t>
      </w:r>
    </w:p>
    <w:p>
      <w:pPr>
        <w:ind w:left="1660"/>
        <w:spacing w:after="0"/>
        <w:rPr>
          <w:sz w:val="20"/>
          <w:szCs w:val="20"/>
          <w:color w:val="auto"/>
        </w:rPr>
      </w:pPr>
      <w:r>
        <w:rPr>
          <w:rFonts w:ascii="Times New Roman" w:cs="Times New Roman" w:eastAsia="Times New Roman" w:hAnsi="Times New Roman"/>
          <w:sz w:val="18"/>
          <w:szCs w:val="18"/>
          <w:u w:val="single" w:color="auto"/>
          <w:color w:val="0000FF"/>
        </w:rPr>
        <w:t>effective as of November 23, 2022</w:t>
      </w:r>
    </w:p>
    <w:p>
      <w:pPr>
        <w:spacing w:after="0" w:line="7" w:lineRule="exact"/>
        <w:rPr>
          <w:sz w:val="20"/>
          <w:szCs w:val="20"/>
          <w:color w:val="auto"/>
        </w:rPr>
      </w:pPr>
    </w:p>
    <w:p>
      <w:pPr>
        <w:ind w:left="1660" w:right="360" w:hanging="934"/>
        <w:spacing w:after="0" w:line="234" w:lineRule="auto"/>
        <w:tabs>
          <w:tab w:leader="none" w:pos="164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Employment Agreement, dated June 9, 2022, by and between the Registrant and Sheldon Koenig (incorporated by reference to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Exhibit 10.1 to the Registrant's Current Report on Form 8-K, File No. 001-35986, filed on June 13, 2022)</w:t>
        </w:r>
      </w:hyperlink>
    </w:p>
    <w:p>
      <w:pPr>
        <w:spacing w:after="0" w:line="10" w:lineRule="exact"/>
        <w:rPr>
          <w:rFonts w:ascii="Times New Roman" w:cs="Times New Roman" w:eastAsia="Times New Roman" w:hAnsi="Times New Roman"/>
          <w:sz w:val="18"/>
          <w:szCs w:val="18"/>
          <w:u w:val="single" w:color="auto"/>
          <w:color w:val="0000FF"/>
        </w:rPr>
      </w:pPr>
    </w:p>
    <w:p>
      <w:pPr>
        <w:ind w:left="1660" w:right="480" w:hanging="93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8"/>
            <w:szCs w:val="18"/>
            <w:u w:val="single" w:color="auto"/>
            <w:color w:val="0000FF"/>
          </w:rPr>
          <w:t>Employment Agreement, dated June 9, 2022, by and between the Registrant and JoAnne Foody (incorporated by reference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Exhibit 10.2 to the Registrant's Current Report on Form 8-K, File No. 001-35986, filed on June 13, 2022)</w:t>
        </w:r>
      </w:hyperlink>
    </w:p>
    <w:p>
      <w:pPr>
        <w:ind w:left="720"/>
        <w:spacing w:after="0"/>
        <w:tabs>
          <w:tab w:leader="none" w:pos="1640" w:val="left"/>
        </w:tabs>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27#</w:t>
        <w:tab/>
      </w:r>
      <w:hyperlink r:id="rId151">
        <w:r>
          <w:rPr>
            <w:rFonts w:ascii="Times New Roman" w:cs="Times New Roman" w:eastAsia="Times New Roman" w:hAnsi="Times New Roman"/>
            <w:sz w:val="17"/>
            <w:szCs w:val="17"/>
            <w:u w:val="single" w:color="auto"/>
            <w:color w:val="0000FF"/>
          </w:rPr>
          <w:t>Employment Agreement, dated June 9, 2022, by and between the Registrant and Eric Warren (incorporated by reference to Exhibit</w:t>
        </w:r>
      </w:hyperlink>
    </w:p>
    <w:p>
      <w:pPr>
        <w:ind w:left="166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10.3 to the Registrant's Current Report on Form 8-K, File No. 001-35986, filed on June 13, 2022)</w:t>
        </w:r>
      </w:hyperlink>
    </w:p>
    <w:p>
      <w:pPr>
        <w:spacing w:after="0" w:line="16" w:lineRule="exact"/>
        <w:rPr>
          <w:sz w:val="20"/>
          <w:szCs w:val="20"/>
          <w:color w:val="auto"/>
        </w:rPr>
      </w:pPr>
    </w:p>
    <w:p>
      <w:pPr>
        <w:ind w:left="1660" w:right="260" w:hanging="934"/>
        <w:spacing w:after="0" w:line="237" w:lineRule="auto"/>
        <w:tabs>
          <w:tab w:leader="none" w:pos="1640" w:val="left"/>
        </w:tabs>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8"/>
            <w:szCs w:val="18"/>
            <w:u w:val="single" w:color="auto"/>
            <w:color w:val="0000FF"/>
          </w:rPr>
          <w:t>Employment Agreement, dated June 9, 2022, by and between the Registrant and Benjamin Looker (incorporated by reference to</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Exhibit 10.4 to the Registrant's Current Report on Form 8-K, File No. 001-35986, filed on June 13, 2022)</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4"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860" w:type="dxa"/>
            <w:vAlign w:val="bottom"/>
            <w:gridSpan w:val="4"/>
          </w:tcPr>
          <w:p>
            <w:pPr>
              <w:jc w:val="right"/>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40" w:type="dxa"/>
            <w:vAlign w:val="bottom"/>
          </w:tcPr>
          <w:p>
            <w:pPr>
              <w:spacing w:after="0"/>
              <w:rPr>
                <w:sz w:val="17"/>
                <w:szCs w:val="17"/>
                <w:color w:val="auto"/>
              </w:rPr>
            </w:pPr>
          </w:p>
        </w:tc>
        <w:tc>
          <w:tcPr>
            <w:tcW w:w="9540" w:type="dxa"/>
            <w:vAlign w:val="bottom"/>
            <w:gridSpan w:val="1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Subsidiaries of the Registrant (incorporated by reference to Exhibit 21.1 to the Registrant’s Registration Statement on Form S-1,</w:t>
              </w:r>
            </w:hyperlink>
          </w:p>
        </w:tc>
      </w:tr>
      <w:tr>
        <w:trPr>
          <w:trHeight w:val="156"/>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File No. 333-188595, filed on May 14, 2013)</w:t>
              </w:r>
            </w:hyperlink>
          </w:p>
        </w:tc>
        <w:tc>
          <w:tcPr>
            <w:tcW w:w="598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40" w:type="dxa"/>
            <w:vAlign w:val="bottom"/>
          </w:tcPr>
          <w:p>
            <w:pPr>
              <w:spacing w:after="0"/>
              <w:rPr>
                <w:sz w:val="19"/>
                <w:szCs w:val="19"/>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0"/>
        </w:trPr>
        <w:tc>
          <w:tcPr>
            <w:tcW w:w="2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4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w:t>
            </w:r>
          </w:p>
        </w:tc>
      </w:tr>
      <w:tr>
        <w:trPr>
          <w:trHeight w:val="156"/>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302 of the Sarbanes-Oxley Act of 2002</w:t>
            </w:r>
          </w:p>
        </w:tc>
        <w:tc>
          <w:tcPr>
            <w:tcW w:w="438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40" w:type="dxa"/>
            <w:vAlign w:val="bottom"/>
          </w:tcPr>
          <w:p>
            <w:pPr>
              <w:spacing w:after="0"/>
              <w:rPr>
                <w:sz w:val="19"/>
                <w:szCs w:val="19"/>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w:t>
            </w:r>
          </w:p>
        </w:tc>
      </w:tr>
      <w:tr>
        <w:trPr>
          <w:trHeight w:val="156"/>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302 of the Sarbanes-Oxley Act of 2002</w:t>
            </w:r>
          </w:p>
        </w:tc>
        <w:tc>
          <w:tcPr>
            <w:tcW w:w="434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40" w:type="dxa"/>
            <w:vAlign w:val="bottom"/>
          </w:tcPr>
          <w:p>
            <w:pPr>
              <w:spacing w:after="0"/>
              <w:rPr>
                <w:sz w:val="19"/>
                <w:szCs w:val="19"/>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18 U.S.C. Section 1350, as adopted pursuant</w:t>
            </w:r>
          </w:p>
        </w:tc>
      </w:tr>
      <w:tr>
        <w:trPr>
          <w:trHeight w:val="156"/>
        </w:trPr>
        <w:tc>
          <w:tcPr>
            <w:tcW w:w="2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to Section 906 of the Sarbanes-Oxley Act of 2002</w:t>
            </w:r>
          </w:p>
        </w:tc>
        <w:tc>
          <w:tcPr>
            <w:tcW w:w="59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w w:val="99"/>
              </w:rPr>
              <w:t>101.SCH**</w:t>
            </w: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w w:val="98"/>
              </w:rPr>
              <w:t>101.CAL**</w:t>
            </w: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w w:val="98"/>
              </w:rPr>
              <w:t>101.LAB**</w:t>
            </w: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101.PRE**</w:t>
            </w: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0"/>
        </w:trPr>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101.DEF**</w:t>
            </w: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0"/>
        </w:trPr>
        <w:tc>
          <w:tcPr>
            <w:tcW w:w="8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15"/>
                <w:szCs w:val="15"/>
                <w:color w:val="auto"/>
              </w:rPr>
            </w:pPr>
          </w:p>
        </w:tc>
        <w:tc>
          <w:tcPr>
            <w:tcW w:w="954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4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the rules of the Securities and Exchange Commission.</w:t>
      </w:r>
    </w:p>
    <w:p>
      <w:pPr>
        <w:spacing w:after="0" w:line="104"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1" w:lineRule="exact"/>
        <w:rPr>
          <w:sz w:val="20"/>
          <w:szCs w:val="20"/>
          <w:color w:val="auto"/>
        </w:rPr>
      </w:pPr>
    </w:p>
    <w:p>
      <w:pPr>
        <w:ind w:firstLine="8"/>
        <w:spacing w:after="0" w:line="261" w:lineRule="auto"/>
        <w:tabs>
          <w:tab w:leader="none" w:pos="6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SHELDON L. KOENIG</w:t>
            </w:r>
          </w:p>
        </w:tc>
      </w:tr>
      <w:tr>
        <w:trPr>
          <w:trHeight w:val="216"/>
        </w:trPr>
        <w:tc>
          <w:tcPr>
            <w:tcW w:w="6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6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6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in the capacities indicated below and on the dates indicated:</w:t>
      </w:r>
    </w:p>
    <w:p>
      <w:pPr>
        <w:sectPr>
          <w:pgSz w:w="11900" w:h="16838" w:orient="portrait"/>
          <w:cols w:equalWidth="0" w:num="1">
            <w:col w:w="11160"/>
          </w:cols>
          <w:pgMar w:left="320" w:top="121" w:right="419" w:bottom="1440" w:gutter="0" w:footer="0" w:header="0"/>
        </w:sectPr>
      </w:pPr>
    </w:p>
    <w:p>
      <w:pPr>
        <w:spacing w:after="0" w:line="19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2503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Sheldon L. Koenig</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Benjamin Halladay</w:t>
      </w:r>
    </w:p>
    <w:p>
      <w:pPr>
        <w:spacing w:after="0" w:line="22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JEFFREY BERKOWITZ,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Jeffrey Berkowitz, J.D.</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 MARTIN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 Martin Carroll</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SETH H.Z.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Seth H.Z. Fischer</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Alan Fuhrman</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ANTONIO M. GOTTO, M.D., D.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41910</wp:posOffset>
            </wp:positionV>
            <wp:extent cx="25031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6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Antonio M. Gotto, M.D., D. Phil</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STEPHEN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Stephen Rocamboli</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JAY SHEPARD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Jay Shepard</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NICOLE VITULLO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Nicole Vitullo</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TRACY M. WOODY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5031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Tracy M. Woody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974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03" w:lineRule="exact"/>
        <w:rPr>
          <w:sz w:val="20"/>
          <w:szCs w:val="20"/>
          <w:color w:val="auto"/>
        </w:rPr>
      </w:pPr>
    </w:p>
    <w:p>
      <w:pPr>
        <w:ind w:right="1140"/>
        <w:spacing w:after="0" w:line="344"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109" w:lineRule="exact"/>
        <w:rPr>
          <w:sz w:val="20"/>
          <w:szCs w:val="20"/>
          <w:color w:val="auto"/>
        </w:rPr>
      </w:pPr>
    </w:p>
    <w:p>
      <w:pPr>
        <w:ind w:right="880"/>
        <w:spacing w:after="0" w:line="344" w:lineRule="auto"/>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33655</wp:posOffset>
            </wp:positionV>
            <wp:extent cx="11576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2023</w:t>
      </w:r>
    </w:p>
    <w:p>
      <w:pPr>
        <w:spacing w:after="0" w:line="495" w:lineRule="exact"/>
        <w:rPr>
          <w:sz w:val="20"/>
          <w:szCs w:val="20"/>
          <w:color w:val="auto"/>
        </w:rPr>
      </w:pPr>
    </w:p>
    <w:p>
      <w:pPr>
        <w:sectPr>
          <w:pgSz w:w="11900" w:h="16838" w:orient="portrait"/>
          <w:cols w:equalWidth="0" w:num="3">
            <w:col w:w="3640" w:space="720"/>
            <w:col w:w="4580" w:space="720"/>
            <w:col w:w="1500"/>
          </w:cols>
          <w:pgMar w:left="320" w:top="121" w:right="4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940" w:type="dxa"/>
            <w:vAlign w:val="bottom"/>
          </w:tcPr>
          <w:p>
            <w:pPr>
              <w:spacing w:after="0"/>
              <w:rPr>
                <w:sz w:val="17"/>
                <w:szCs w:val="17"/>
                <w:color w:val="auto"/>
              </w:rPr>
            </w:pPr>
          </w:p>
        </w:tc>
      </w:tr>
      <w:tr>
        <w:trPr>
          <w:trHeight w:val="984"/>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tcPr>
          <w:p>
            <w:pPr>
              <w:jc w:val="center"/>
              <w:ind w:right="4210"/>
              <w:spacing w:after="0"/>
              <w:rPr>
                <w:sz w:val="20"/>
                <w:szCs w:val="20"/>
                <w:color w:val="auto"/>
              </w:rPr>
            </w:pPr>
            <w:r>
              <w:rPr>
                <w:rFonts w:ascii="Times New Roman" w:cs="Times New Roman" w:eastAsia="Times New Roman" w:hAnsi="Times New Roman"/>
                <w:sz w:val="18"/>
                <w:szCs w:val="18"/>
                <w:b w:val="1"/>
                <w:bCs w:val="1"/>
                <w:color w:val="auto"/>
                <w:w w:val="99"/>
              </w:rPr>
              <w:t>Esperion Therapeutics, Inc.</w:t>
            </w:r>
          </w:p>
        </w:tc>
      </w:t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40" w:type="dxa"/>
            <w:vAlign w:val="bottom"/>
          </w:tcPr>
          <w:p>
            <w:pPr>
              <w:jc w:val="center"/>
              <w:ind w:right="4190"/>
              <w:spacing w:after="0"/>
              <w:rPr>
                <w:sz w:val="20"/>
                <w:szCs w:val="20"/>
                <w:color w:val="auto"/>
              </w:rPr>
            </w:pPr>
            <w:r>
              <w:rPr>
                <w:rFonts w:ascii="Times New Roman" w:cs="Times New Roman" w:eastAsia="Times New Roman" w:hAnsi="Times New Roman"/>
                <w:sz w:val="18"/>
                <w:szCs w:val="18"/>
                <w:b w:val="1"/>
                <w:bCs w:val="1"/>
                <w:color w:val="auto"/>
                <w:w w:val="99"/>
              </w:rPr>
              <w:t>Index to the Financial Statements</w:t>
            </w:r>
          </w:p>
        </w:tc>
      </w:tr>
      <w:tr>
        <w:trPr>
          <w:trHeight w:val="43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tcPr>
          <w:p>
            <w:pPr>
              <w:jc w:val="center"/>
              <w:ind w:right="4210"/>
              <w:spacing w:after="0"/>
              <w:rPr>
                <w:sz w:val="20"/>
                <w:szCs w:val="20"/>
                <w:color w:val="auto"/>
              </w:rPr>
            </w:pPr>
            <w:r>
              <w:rPr>
                <w:rFonts w:ascii="Times New Roman" w:cs="Times New Roman" w:eastAsia="Times New Roman" w:hAnsi="Times New Roman"/>
                <w:sz w:val="18"/>
                <w:szCs w:val="18"/>
                <w:b w:val="1"/>
                <w:bCs w:val="1"/>
                <w:color w:val="auto"/>
                <w:w w:val="98"/>
              </w:rPr>
              <w:t>Contents</w:t>
            </w:r>
          </w:p>
        </w:tc>
      </w:tr>
      <w:tr>
        <w:trPr>
          <w:trHeight w:val="432"/>
        </w:trPr>
        <w:tc>
          <w:tcPr>
            <w:tcW w:w="4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94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F-2</w:t>
            </w:r>
          </w:p>
        </w:tc>
      </w:tr>
      <w:tr>
        <w:trPr>
          <w:trHeight w:val="245"/>
        </w:trPr>
        <w:tc>
          <w:tcPr>
            <w:tcW w:w="40" w:type="dxa"/>
            <w:vAlign w:val="bottom"/>
          </w:tcPr>
          <w:p>
            <w:pPr>
              <w:spacing w:after="0"/>
              <w:rPr>
                <w:sz w:val="21"/>
                <w:szCs w:val="21"/>
                <w:color w:val="auto"/>
              </w:rPr>
            </w:pPr>
          </w:p>
        </w:tc>
        <w:tc>
          <w:tcPr>
            <w:tcW w:w="42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 w:type="dxa"/>
            <w:vAlign w:val="bottom"/>
          </w:tcPr>
          <w:p>
            <w:pPr>
              <w:spacing w:after="0"/>
              <w:rPr>
                <w:sz w:val="21"/>
                <w:szCs w:val="21"/>
                <w:color w:val="auto"/>
              </w:rPr>
            </w:pPr>
          </w:p>
        </w:tc>
        <w:tc>
          <w:tcPr>
            <w:tcW w:w="6940" w:type="dxa"/>
            <w:vAlign w:val="bottom"/>
          </w:tcPr>
          <w:p>
            <w:pPr>
              <w:spacing w:after="0"/>
              <w:rPr>
                <w:sz w:val="21"/>
                <w:szCs w:val="21"/>
                <w:color w:val="auto"/>
              </w:rPr>
            </w:pPr>
          </w:p>
        </w:tc>
      </w:tr>
      <w:tr>
        <w:trPr>
          <w:trHeight w:val="194"/>
        </w:trPr>
        <w:tc>
          <w:tcPr>
            <w:tcW w:w="40" w:type="dxa"/>
            <w:vAlign w:val="bottom"/>
          </w:tcPr>
          <w:p>
            <w:pPr>
              <w:spacing w:after="0"/>
              <w:rPr>
                <w:sz w:val="16"/>
                <w:szCs w:val="16"/>
                <w:color w:val="auto"/>
              </w:rPr>
            </w:pPr>
          </w:p>
        </w:tc>
        <w:tc>
          <w:tcPr>
            <w:tcW w:w="42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Balance Sheets</w:t>
            </w:r>
          </w:p>
        </w:tc>
        <w:tc>
          <w:tcPr>
            <w:tcW w:w="6940" w:type="dxa"/>
            <w:vAlign w:val="bottom"/>
          </w:tcPr>
          <w:p>
            <w:pPr>
              <w:ind w:left="6660"/>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694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F-5</w:t>
            </w:r>
          </w:p>
        </w:tc>
      </w:tr>
      <w:tr>
        <w:trPr>
          <w:trHeight w:val="209"/>
        </w:trPr>
        <w:tc>
          <w:tcPr>
            <w:tcW w:w="40" w:type="dxa"/>
            <w:vAlign w:val="bottom"/>
          </w:tcPr>
          <w:p>
            <w:pPr>
              <w:spacing w:after="0"/>
              <w:rPr>
                <w:sz w:val="18"/>
                <w:szCs w:val="18"/>
                <w:color w:val="auto"/>
              </w:rPr>
            </w:pPr>
          </w:p>
        </w:tc>
        <w:tc>
          <w:tcPr>
            <w:tcW w:w="3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Stockholders’ Equity (Deficit)</w:t>
            </w:r>
          </w:p>
        </w:tc>
        <w:tc>
          <w:tcPr>
            <w:tcW w:w="580" w:type="dxa"/>
            <w:vAlign w:val="bottom"/>
            <w:gridSpan w:val="2"/>
          </w:tcPr>
          <w:p>
            <w:pPr>
              <w:spacing w:after="0"/>
              <w:rPr>
                <w:sz w:val="18"/>
                <w:szCs w:val="18"/>
                <w:color w:val="auto"/>
              </w:rPr>
            </w:pPr>
          </w:p>
        </w:tc>
        <w:tc>
          <w:tcPr>
            <w:tcW w:w="694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F-6</w:t>
            </w:r>
          </w:p>
        </w:tc>
      </w:tr>
      <w:tr>
        <w:trPr>
          <w:trHeight w:val="209"/>
        </w:trPr>
        <w:tc>
          <w:tcPr>
            <w:tcW w:w="40" w:type="dxa"/>
            <w:vAlign w:val="bottom"/>
          </w:tcPr>
          <w:p>
            <w:pPr>
              <w:spacing w:after="0"/>
              <w:rPr>
                <w:sz w:val="18"/>
                <w:szCs w:val="18"/>
                <w:color w:val="auto"/>
              </w:rPr>
            </w:pPr>
          </w:p>
        </w:tc>
        <w:tc>
          <w:tcPr>
            <w:tcW w:w="3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1040" w:type="dxa"/>
            <w:vAlign w:val="bottom"/>
            <w:gridSpan w:val="3"/>
          </w:tcPr>
          <w:p>
            <w:pPr>
              <w:spacing w:after="0"/>
              <w:rPr>
                <w:sz w:val="18"/>
                <w:szCs w:val="18"/>
                <w:color w:val="auto"/>
              </w:rPr>
            </w:pPr>
          </w:p>
        </w:tc>
        <w:tc>
          <w:tcPr>
            <w:tcW w:w="694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4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694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F-8</w:t>
            </w:r>
          </w:p>
        </w:tc>
      </w:tr>
      <w:tr>
        <w:trPr>
          <w:trHeight w:val="884"/>
        </w:trPr>
        <w:tc>
          <w:tcPr>
            <w:tcW w:w="4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tcPr>
          <w:p>
            <w:pPr>
              <w:jc w:val="center"/>
              <w:ind w:right="4210"/>
              <w:spacing w:after="0"/>
              <w:rPr>
                <w:sz w:val="20"/>
                <w:szCs w:val="20"/>
                <w:color w:val="auto"/>
              </w:rPr>
            </w:pPr>
            <w:r>
              <w:rPr>
                <w:rFonts w:ascii="Times New Roman" w:cs="Times New Roman" w:eastAsia="Times New Roman" w:hAnsi="Times New Roman"/>
                <w:sz w:val="18"/>
                <w:szCs w:val="18"/>
                <w:color w:val="auto"/>
                <w:w w:val="95"/>
              </w:rPr>
              <w:t>F-1</w:t>
            </w:r>
          </w:p>
        </w:tc>
      </w:tr>
      <w:tr>
        <w:trPr>
          <w:trHeight w:val="115"/>
        </w:trPr>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Esperion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balance sheets of Esperion Therapeutics, Inc. (the Company) as of December 31, 2022 and 2021, the related statements of operations and comprehensive loss,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revenue interest liability</w:t>
      </w:r>
    </w:p>
    <w:p>
      <w:pPr>
        <w:spacing w:after="0" w:line="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Notes 2 and 10 to the financial statements, the Company maintains a Revenue Interest Purchase Agreement (“RIPA”) with Eiger III SA LLC. Pursuant to the RIPA, the Company has received Cumulative Purchaser Payments of $177.8 million at December 31, 2022. The carrying amount of the RIPA at December 31, 2022 was $243.6 million.</w:t>
      </w:r>
    </w:p>
    <w:p>
      <w:pPr>
        <w:spacing w:after="0" w:line="21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In connection with the RIPA, the Company evaluated the accounting and determined it should be treated as a debt instrument. The Company imputes interest expense associated with this liability using the effective interest rate method. The effective interest rate is calculated based on the rate that would enable the liability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22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Auditing the revenue interest liability was complex and highly judgmental due to the estimation uncertainty in determining the effective interest rate. The Company’s effective interest rate model includes net revenue projections which are affected by expectations about future economic and market conditions.</w:t>
      </w:r>
    </w:p>
    <w:p>
      <w:pPr>
        <w:spacing w:after="0" w:line="200" w:lineRule="exact"/>
        <w:rPr>
          <w:sz w:val="20"/>
          <w:szCs w:val="20"/>
          <w:color w:val="auto"/>
        </w:rPr>
      </w:pPr>
    </w:p>
    <w:p>
      <w:pPr>
        <w:sectPr>
          <w:pgSz w:w="11900" w:h="16838" w:orient="portrait"/>
          <w:cols w:equalWidth="0" w:num="2">
            <w:col w:w="1540" w:space="520"/>
            <w:col w:w="8960"/>
          </w:cols>
          <w:pgMar w:left="320" w:top="121" w:right="559" w:bottom="1440" w:gutter="0" w:footer="0" w:header="0"/>
        </w:sectPr>
      </w:pPr>
    </w:p>
    <w:p>
      <w:pPr>
        <w:spacing w:after="0" w:line="312" w:lineRule="exact"/>
        <w:rPr>
          <w:sz w:val="20"/>
          <w:szCs w:val="20"/>
          <w:color w:val="auto"/>
        </w:rPr>
      </w:pPr>
    </w:p>
    <w:p>
      <w:pPr>
        <w:ind w:left="240"/>
        <w:spacing w:after="0"/>
        <w:tabs>
          <w:tab w:leader="none" w:pos="20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RIPA, we performed audit procedures that included, among others, assessing the methodologies and the</w:t>
      </w:r>
    </w:p>
    <w:p>
      <w:pPr>
        <w:spacing w:after="0" w:line="18" w:lineRule="exact"/>
        <w:rPr>
          <w:sz w:val="20"/>
          <w:szCs w:val="20"/>
          <w:color w:val="auto"/>
        </w:rPr>
      </w:pPr>
    </w:p>
    <w:p>
      <w:pPr>
        <w:ind w:left="2060" w:right="180" w:hanging="1821"/>
        <w:spacing w:after="0" w:line="258" w:lineRule="auto"/>
        <w:tabs>
          <w:tab w:leader="none" w:pos="20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underlying data used by the Company in its effective interest rate model. We compared the significant assumptions within the net revenue projections, penetration and sales price, to current industry, market and economic trends and performed sensitivity analyses to evaluate the changes in the effective interest rate, and associated interest expense, that would result from changes in the assumptions.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208,892</w:t>
            </w:r>
          </w:p>
        </w:tc>
        <w:tc>
          <w:tcPr>
            <w:tcW w:w="0" w:type="dxa"/>
            <w:vAlign w:val="bottom"/>
          </w:tcPr>
          <w:p>
            <w:pPr>
              <w:spacing w:after="0"/>
              <w:rPr>
                <w:sz w:val="1"/>
                <w:szCs w:val="1"/>
                <w:color w:val="auto"/>
              </w:rPr>
            </w:pPr>
          </w:p>
        </w:tc>
      </w:tr>
      <w:tr>
        <w:trPr>
          <w:trHeight w:val="213"/>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22,934</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clinical development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11,173</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328,972</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17,559</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clinical development costs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 from collaborations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73,352</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258,280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245,744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 from collaborations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3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5,000,000 shares authorized and no shares issued or outstanding as of December 31, 2022</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December 31, 2021</w:t>
            </w:r>
          </w:p>
        </w:tc>
        <w:tc>
          <w:tcPr>
            <w:tcW w:w="20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$0.001 par value; 240,000,000 shares authorized as of December 31, 2022 and 120,000,000 shares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authorized as of December 31, 2021; 76,564,396 shares issued at December 31, 2022 and 62,873,694 shares issued at</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964,401</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1,994,198 shares at December 31, 2022 and December 31, 2021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(1,340,036)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(1,106,377)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(196,944)</w:t>
            </w:r>
          </w:p>
        </w:tc>
        <w:tc>
          <w:tcPr>
            <w:tcW w:w="0" w:type="dxa"/>
            <w:vAlign w:val="bottom"/>
          </w:tcPr>
          <w:p>
            <w:pPr>
              <w:spacing w:after="0"/>
              <w:rPr>
                <w:sz w:val="1"/>
                <w:szCs w:val="1"/>
                <w:color w:val="auto"/>
              </w:rPr>
            </w:pP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247,939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381,590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2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63"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12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20" w:type="dxa"/>
            <w:vAlign w:val="bottom"/>
            <w:shd w:val="clear" w:color="auto" w:fill="CCEEFF"/>
          </w:tcPr>
          <w:p>
            <w:pPr>
              <w:spacing w:after="0"/>
              <w:rPr>
                <w:sz w:val="19"/>
                <w:szCs w:val="19"/>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78,447</w:t>
            </w:r>
          </w:p>
        </w:tc>
        <w:tc>
          <w:tcPr>
            <w:tcW w:w="120" w:type="dxa"/>
            <w:vAlign w:val="bottom"/>
            <w:tcBorders>
              <w:bottom w:val="single" w:sz="8" w:color="CCEEFF"/>
            </w:tcBorders>
          </w:tcPr>
          <w:p>
            <w:pPr>
              <w:spacing w:after="0"/>
              <w:rPr>
                <w:sz w:val="19"/>
                <w:szCs w:val="19"/>
                <w:color w:val="auto"/>
              </w:rPr>
            </w:pPr>
          </w:p>
        </w:tc>
      </w:tr>
      <w:tr>
        <w:trPr>
          <w:trHeight w:val="250"/>
        </w:trPr>
        <w:tc>
          <w:tcPr>
            <w:tcW w:w="6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20" w:type="dxa"/>
            <w:vAlign w:val="bottom"/>
            <w:shd w:val="clear" w:color="auto" w:fill="CCEEFF"/>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105,975</w:t>
            </w:r>
          </w:p>
        </w:tc>
        <w:tc>
          <w:tcPr>
            <w:tcW w:w="12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184,985</w:t>
            </w:r>
          </w:p>
        </w:tc>
        <w:tc>
          <w:tcPr>
            <w:tcW w:w="120" w:type="dxa"/>
            <w:vAlign w:val="bottom"/>
            <w:shd w:val="clear" w:color="auto" w:fill="CCEEFF"/>
          </w:tcPr>
          <w:p>
            <w:pPr>
              <w:spacing w:after="0"/>
              <w:rPr>
                <w:sz w:val="19"/>
                <w:szCs w:val="19"/>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305,177</w:t>
            </w:r>
          </w:p>
        </w:tc>
        <w:tc>
          <w:tcPr>
            <w:tcW w:w="120" w:type="dxa"/>
            <w:vAlign w:val="bottom"/>
            <w:tcBorders>
              <w:bottom w:val="single" w:sz="8" w:color="CCEEFF"/>
            </w:tcBorders>
          </w:tcPr>
          <w:p>
            <w:pPr>
              <w:spacing w:after="0"/>
              <w:rPr>
                <w:sz w:val="19"/>
                <w:szCs w:val="19"/>
                <w:color w:val="auto"/>
              </w:rPr>
            </w:pPr>
          </w:p>
        </w:tc>
      </w:tr>
      <w:tr>
        <w:trPr>
          <w:trHeight w:val="250"/>
        </w:trPr>
        <w:tc>
          <w:tcPr>
            <w:tcW w:w="6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(226,730)</w:t>
            </w:r>
          </w:p>
        </w:tc>
        <w:tc>
          <w:tcPr>
            <w:tcW w:w="120" w:type="dxa"/>
            <w:vAlign w:val="bottom"/>
          </w:tcPr>
          <w:p>
            <w:pPr>
              <w:spacing w:after="0"/>
              <w:rPr>
                <w:sz w:val="19"/>
                <w:szCs w:val="19"/>
                <w:color w:val="auto"/>
              </w:rPr>
            </w:pPr>
          </w:p>
        </w:tc>
      </w:tr>
      <w:tr>
        <w:trPr>
          <w:trHeight w:val="270"/>
        </w:trPr>
        <w:tc>
          <w:tcPr>
            <w:tcW w:w="6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(269,108)</w:t>
            </w:r>
          </w:p>
        </w:tc>
        <w:tc>
          <w:tcPr>
            <w:tcW w:w="120" w:type="dxa"/>
            <w:vAlign w:val="bottom"/>
          </w:tcPr>
          <w:p>
            <w:pPr>
              <w:spacing w:after="0"/>
              <w:rPr>
                <w:sz w:val="19"/>
                <w:szCs w:val="19"/>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35"/>
        </w:trPr>
        <w:tc>
          <w:tcPr>
            <w:tcW w:w="6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04"/>
        </w:trPr>
        <w:tc>
          <w:tcPr>
            <w:tcW w:w="6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7"/>
                <w:szCs w:val="17"/>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35"/>
        </w:trPr>
        <w:tc>
          <w:tcPr>
            <w:tcW w:w="6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03"/>
        </w:trPr>
        <w:tc>
          <w:tcPr>
            <w:tcW w:w="6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66,407,242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28,902,507</w:t>
            </w:r>
          </w:p>
        </w:tc>
        <w:tc>
          <w:tcPr>
            <w:tcW w:w="120" w:type="dxa"/>
            <w:vAlign w:val="bottom"/>
          </w:tcPr>
          <w:p>
            <w:pPr>
              <w:spacing w:after="0"/>
              <w:rPr>
                <w:sz w:val="17"/>
                <w:szCs w:val="17"/>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(269,139)</w:t>
            </w:r>
          </w:p>
        </w:tc>
        <w:tc>
          <w:tcPr>
            <w:tcW w:w="120" w:type="dxa"/>
            <w:vAlign w:val="bottom"/>
          </w:tcPr>
          <w:p>
            <w:pPr>
              <w:spacing w:after="0"/>
              <w:rPr>
                <w:sz w:val="19"/>
                <w:szCs w:val="19"/>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 (Deficit)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12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25,916,168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(54,998)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(96,134)</w:t>
            </w:r>
          </w:p>
        </w:tc>
        <w:tc>
          <w:tcPr>
            <w:tcW w:w="0" w:type="dxa"/>
            <w:vAlign w:val="bottom"/>
          </w:tcPr>
          <w:p>
            <w:pPr>
              <w:spacing w:after="0"/>
              <w:rPr>
                <w:sz w:val="1"/>
                <w:szCs w:val="1"/>
                <w:color w:val="auto"/>
              </w:rPr>
            </w:pPr>
          </w:p>
        </w:tc>
      </w:tr>
      <w:tr>
        <w:trPr>
          <w:trHeight w:val="142"/>
        </w:trPr>
        <w:tc>
          <w:tcPr>
            <w:tcW w:w="21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Adoption of new accounting</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(91,927)</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pronouncement</w:t>
            </w: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and</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warrants from offering, net of</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32,142,858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ATM Program, net of issuance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897,364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Exchange of convertible notes</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equity, net of issuance costs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ESPP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(269,108)</w:t>
            </w: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60,879,496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964,401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(1,106,377)</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(54,998)</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(196,944)</w:t>
            </w: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ATM Program, net of issuance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13,043,797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90,848</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ESPP Shares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(233,659)</w:t>
            </w:r>
          </w:p>
        </w:tc>
        <w:tc>
          <w:tcPr>
            <w:tcW w:w="0" w:type="dxa"/>
            <w:vAlign w:val="bottom"/>
          </w:tcPr>
          <w:p>
            <w:pPr>
              <w:spacing w:after="0"/>
              <w:rPr>
                <w:sz w:val="1"/>
                <w:szCs w:val="1"/>
                <w:color w:val="auto"/>
              </w:rPr>
            </w:pPr>
          </w:p>
        </w:tc>
      </w:tr>
      <w:tr>
        <w:trPr>
          <w:trHeight w:val="244"/>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74,570,198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(54,998)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(323,778)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2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and discounts on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and issuance costs on convertible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sales/maturities of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revenue interest liability, net of issuance costs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warrants from offering, net of issuance costs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ATM Program, net of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for debt issuance costs on convertible notes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principal on revenue interest liability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other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268,223</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 not yet paid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cash right of use asset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Esperion Therapeutics, Inc. ("the Company”) is a pharmaceutical company singularly focused on developing and commercializing accessible, oral, once-daily, non-statin medicines for patients struggling with elevated low density lipoprotein cholesterol ("LDL-C"). Through commercial execution and completion of the CLEAR Outcomes trial as well as advancing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recently completed a global cardiovascular outcomes trial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 patients who are statin averse and who have cardiovascular disease ("CVD") or are at high risk for CVD. The Company initiated the CLEAR Outcomes CVOT in December 2016 and fully enrolled the study with over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On December 7, 2022, the Company announced that the study had met its primary endpoint. The Company anticipates reporting full results from the study at ACC.23 Annual Scientific Session &amp; Expo together with the World Congress of Cardiology ("ACC.23/WCC") on March 4, 2023. The Company intends to use results from this CVOT to support submissions for a CV risk reduction indication in the U.S., Europe and other territories and plans to file for such regulatory approvals in the first half of 2023.</w:t>
      </w:r>
    </w:p>
    <w:p>
      <w:pPr>
        <w:spacing w:after="0" w:line="17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November 23, 2022, the Company entered into a waiver and amendment to the Revenue Interest Purchase Agreement ("RIPA") with Eiger III SA LLC ("Oberland"), in which the Company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Refer to Note 10 "Liability Related to the Revenue Interest Purchase Agreement" for further information.</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The Company's ability to successfully launch, commercialize and generate revenue from NEXLETOL, NEXLIZET, NILEMDO and NUSTENDI has been and may continue to be adversely affected by the economic impact of the ongoing COVID-19 pandemic.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the Company in accordance with generally accepted accounting principles in the United States of America (“GAAP”).</w:t>
      </w:r>
    </w:p>
    <w:p>
      <w:pPr>
        <w:spacing w:after="0" w:line="158" w:lineRule="exact"/>
        <w:rPr>
          <w:sz w:val="20"/>
          <w:szCs w:val="20"/>
          <w:color w:val="auto"/>
        </w:rPr>
      </w:pPr>
    </w:p>
    <w:p>
      <w:pPr>
        <w:ind w:right="7600" w:firstLine="8"/>
        <w:spacing w:after="0" w:line="503" w:lineRule="auto"/>
        <w:tabs>
          <w:tab w:leader="none" w:pos="22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Restricted cash consists of legally restricted amounts held by financial institutions pursuant to contractual arrangements. Pursuant to the Amendment and Waiver (as defined below), in 2021 the Company deposited $50.0 million in a deposit account that was subject to a block account control agreement. Oberland had the sole control over the funds deposited in the account and such funds could be withdrawn only with the consent of Oberland. On November 23, 2022, pursuant to the Waiver and Amendment No.3, the Company agreed to make a one-time partial call payment with regards to the Revenue Interests (as defined in the RIPA) in the amount of $50.0 million, the full amount that was subject to the block account control agreement. Refer to Note 10 "Liability Related to the Revenue Interest Purchase Agreement" for further information on the Amendment and Waiver.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benefits, stock-based compensation, and costs of programs necessary for the general conduct of the Company's business, including costs associated with the commercialization of NEXLETOL and NEXLIZET in the U.S. Selling, general and administrative expenses are expensed as costs are incurred, services are performed, or goods are delivered. The Company incurred advertising costs of $11.3 million and $13.7 million for the years ended December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Cash, cash equivalents, and investments consist of financial instruments that potentially subject the Company to concentrations of credit risk. The Company has established guidelines for investment of its excess cash and believes the guidelines maintain safety and liquidity through diversification of counterparties and maturities. The Company enters into a limited number of distribution agreements with distributors and specialty pharmacies. The Company's net product sales are with these customers. As of December 31, 2022, eleven customers accounted for all of the Company's net trade receivables and as of December 31, 2021 nine customers accounted for all the Company's net trade receivables.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7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8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which is the business of researching, developing and commercializing therapies for the treatment of patients with elevated LDL-C.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cash, cash equivalents, restricted cash and investments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provided using the straight-line method over the estimated useful lives of the respective assets, generally three to ten years. Leasehold improvements are amortized over the lesser of the lease term or the estimated useful lives of the related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right-of-use operating lease assets,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No impairment losses have been recorded through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7"/>
          <w:szCs w:val="17"/>
          <w:color w:val="auto"/>
        </w:rPr>
        <w:t xml:space="preserve">The Company reviews all arrangements to determine if the contract contains a lease or an embedded lease using the criteria in Accounting Standards Codification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If a lease is identified, the Company reviews the consideration in the contract and separates the lease components from the nonlease components. In addition, the Company reviews the classification of the lease between operating and finance leases.</w:t>
      </w:r>
    </w:p>
    <w:p>
      <w:pPr>
        <w:spacing w:after="0" w:line="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According to ASC 842, lessees should discount lease payments at the lease commencement date using the rate implicit in the lease. If the rate implicit in the lease is not readily determinable, a lessee must use its incremental borrowing rate for purposes of classifying the lease and measuring the right-of-use asset and liability. To the extent the rate is not implicit in the lease, the Company uses the incremental borrowing rate it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to pay to borrow on a collateralized basis over a similar term in an amount equal to the lease payments in a similar economic environment.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1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2020-06, </w:t>
      </w:r>
      <w:r>
        <w:rPr>
          <w:rFonts w:ascii="Times New Roman" w:cs="Times New Roman" w:eastAsia="Times New Roman" w:hAnsi="Times New Roman"/>
          <w:sz w:val="18"/>
          <w:szCs w:val="18"/>
          <w:i w:val="1"/>
          <w:iCs w:val="1"/>
          <w:color w:val="auto"/>
        </w:rPr>
        <w:t>Debt—Debt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Hedging—Contracts in Entity’s Own Equity (Subtopic 815-40) </w:t>
      </w:r>
      <w:r>
        <w:rPr>
          <w:rFonts w:ascii="Times New Roman" w:cs="Times New Roman" w:eastAsia="Times New Roman" w:hAnsi="Times New Roman"/>
          <w:sz w:val="18"/>
          <w:szCs w:val="18"/>
          <w:color w:val="auto"/>
        </w:rPr>
        <w:t>(“ASU 2020-06”). ASU 2020-06 simplified the accounting for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by removing the separation models for convertible debt with cash conversion features and convertible instruments with a beneficial conversion feature, which required the fair value of the embedded conversion feature of convertible instruments be allocated to equity. Under ASU 2020-06, a convertible debt instrument with those features will generally be reported as a single liability at its amortized cost with no separate accounting for the embedded conversion features in equity. The adoption of this ASU resulted in the reclassification of the portion of the Company's convertible notes from equity to debt, which also reduced reported interest expense and increased reported net income. ASU 2020-06 requires the application of the if-converted method when calculating diluted earnings per share, eliminating the Company’s ability to use the treasury stock method when certain conditions are met. The ASU was effective for annual reporting periods beginning after December 15, 2021, with early adoption permitted no earlier than fiscal years beginning after December 15, 2020. The Company early adopted this standard on January 1, 2021 which resulted in a net increase in the Convertible Notes of approximately $92.0 million, an adjustment to accumulated deficit of approximately $1.5 million, and a reduction to additional paid-in capital of $93.5 million. The tax impact of the adoption was not material to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revenue interest liability is presented net of deferred issuance costs on the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of the Company's product candidates by the Company's partners and product sales consists of sales of NEXLETOL and NEXLIZET in the United States.</w:t>
      </w:r>
    </w:p>
    <w:p>
      <w:pPr>
        <w:spacing w:after="0" w:line="190"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In accordance with ASC 606, revenue is measured as the amount of consideration expected to be entitled to in exchange for transferring promised goods or providing services to a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agreements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 based milestones and royalties based on sales of product in a territory, the Company applies the sales-based royalty exception in ASC 606 to all of these milestones and royalties.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inception of a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statements of operations and comprehensive income (loss).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30, 2020, NEXLETOL was commercially available in the U.S. through prescription and on June 4, 2020, NEXLIZET was commercially available in the U.S. through prescription. Net product sales totaled $55.9 million and $40.0 million for the year ended December 31, 2022 and December 31, 2021, respectively.</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and fees.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co-pay assistance, expected product returns, rebates, and distributor fees are classified as “Other accrued liabilities” in the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such as prompt pay discounts, and chargebacks are recorded as a reduction to trade accounts receivable in the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Medicare and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 pocket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 management.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and records distribution fees due to its customers based on gross sales.</w:t>
      </w:r>
    </w:p>
    <w:p>
      <w:pPr>
        <w:spacing w:after="0" w:line="1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 instances.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 amount of product sales that may be returned and records the estimate as a reduction of product sales in the period the related product sales is recognized. The Company’s estimates for expected returns are based primarily on an ongoing analysis of historical returns sales information and visibility into the inventory remaining in the distribution channel.</w:t>
      </w:r>
    </w:p>
    <w:p>
      <w:pPr>
        <w:spacing w:after="0" w:line="18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is related to the Company's net product sales of NEXLETOL and NEXLIZET and the cost of the API and tablets supplied to collaboration partners under supply agreements. Cost of goods sold includes the actual product costs, including inbound freight charges and certain outbound freight charges, purchasing, sourcing, inspection and receiving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further the Company’s research and development activities and include salaries and related benefits, costs associated with clinical activities, nonclinical activities, regulatory activities, manufacturing activities to support clinical activities and commercial product manufacturing supply prior to the Company's regulatory approval, research-related overhead expenses, in-licensing agreements and fees paid to external service providers that conduct certain research and development, clinical, and manufacturing activities on behalf of the Company. Research and development costs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Clinical Development Costs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Outside research costs are a component of research and development expense. These expenses include fees paid to clinical research organizations and other service providers that conduct certain clinical and product development activities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the tax basis of assets and liabilities and are measured using enacted tax rates and laws that will be in effect when the differences are expected to reverse. The Company has incurred annual operating losses since inception. Accordingly, it is not more likely than not that the Company will realize a tax benefit from its deferred tax assets and as such, it has recorded a full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Accordingly, compensation costs related to equity instruments granted are recognized over the requisite service periods of the awards on a straight-line basis at the grant-date fair value. The fair value for stock options and performance-based stock options is calculated using a Black-Scholes option-pricing model. If the instruments contain performance conditions, compensation expense is recognized only if achievement of the performance condition is probable. The Company accounts for forfeitures as they occur. Expense is recognized during the period the related services are rendered.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adoption of any recently issued accounting pronouncements to have a material impact on the financial statements.</w:t>
      </w:r>
    </w:p>
    <w:p>
      <w:pPr>
        <w:spacing w:after="0" w:line="221" w:lineRule="exact"/>
        <w:rPr>
          <w:sz w:val="20"/>
          <w:szCs w:val="20"/>
          <w:color w:val="auto"/>
        </w:rPr>
      </w:pPr>
    </w:p>
    <w:p>
      <w:pPr>
        <w:ind w:right="8420" w:firstLine="8"/>
        <w:spacing w:after="0" w:line="503"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 amended on June 18, 2020. Pursuant to the agreement (as amended),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included in the DSE Territory outside of Turkey.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received upfront cash of $150.0 million in 2019, and a $150.0 million cash payment to the Company in 2020 following the completion of the NUSTENDI Marketing Authorisation Applications ("MAA"). The Company is responsible for supplying DSE with certain manufacturing supply of the API or bulk tablets. The Company is also eligible to receive a substantial additional regulatory milestone payment upon the grant of the marketing authorisation in the European Union for the CV risk reduction label, depending on the range of relative risk reduction in the CLEAR Outcomes study.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87"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During the years ended December 31, 2022 and December 31, 2021, the Company recognized collaboration revenue of $18.2 million and $9.9 million, respectively, related to royalty revenue from DSE as well as the sales of bulk tablets to DSE pursuant to the supply agreement that was executed with DSE.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Collaborations with Third Parties (Continued)</w:t>
      </w:r>
    </w:p>
    <w:p>
      <w:pPr>
        <w:spacing w:after="0" w:line="200" w:lineRule="exact"/>
        <w:rPr>
          <w:sz w:val="20"/>
          <w:szCs w:val="20"/>
          <w:color w:val="auto"/>
        </w:rPr>
      </w:pPr>
    </w:p>
    <w:p>
      <w:pPr>
        <w:spacing w:after="0" w:line="3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inclusion of the CV risk reduction indication in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$0.6 million of collaboration revenue related to sales of bulk tablets to Otsuka pursuant to the supply agreement that was executed with Otsuka. During the year ended December 31, 2021, the Company did not recognize any revenue related to the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license and collaboration agreement ("DS Agreement"), executed in April 2021, the Company granted DS exclusive rights to develop and commercialize bempedoic acid and the bempedoic acid / ezetimibe combination tablet in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DS Agreement was in the scope of ASC 606. The Company concluded that the upfront payment of $30.0 million should be included in the transaction price and related to the following performance obligations under the DS Agreement: 1) the license to the Company’s intellectual property and 2) the obligation to provide ongoing development activities. The Company used the adjusted market assessment approach in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Collaborations with Third Parties (Continued)</w:t>
      </w:r>
    </w:p>
    <w:p>
      <w:pPr>
        <w:spacing w:after="0" w:line="200" w:lineRule="exact"/>
        <w:rPr>
          <w:sz w:val="20"/>
          <w:szCs w:val="20"/>
          <w:color w:val="auto"/>
        </w:rPr>
      </w:pPr>
    </w:p>
    <w:p>
      <w:pPr>
        <w:spacing w:after="0" w:line="3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determining the standalone selling price of the Company’s intellectual property and the expected cost plus margin approach in determining the standalone selling price of the Company’s obligation to provide ongoing development activities. Accordingly, during the year ended December 31, 2021, the Company recognized $28.5 million of collaboration revenue related to the $30.0 million upfront payment. The $28.5 million relates to the performance obligations for the license to the Company’s intellectual property and a portion of ongoing regulatory and development activities conducted during the year ended December 31, 2021, in the amounts of $28.0 million and $0.5 million, respectively. During the year ended December 31, 2022, the Company recognized $0.8 million of collaboration revenue related to the ongoing regulatory and development activities. The remaining $0.7 million of the upfront payment was deferred as of December 31, 2022 due to an on-going performance obligation related to the developmental activities in South Korea and Taiwan. This deferred revenue will be recognized ratably over the period leading up to the completion of these developmental activities.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licensing agreement with Serometrix to in-license a series of early stage compounds known as scaffolds related to its oral, small molecule PCSK9 inhibitor program. PCSK9 is an enzyme responsible for regulating LDL receptors. PCSK9 inhibitors stop LDL receptors from being broken down, increasing the number of LDL receptors present to remove cholesterol from the blood. The agreement allows the Company use of the PCSK9 compounds, which were patented by Serometrix prior to the licensing agreement, to perform further research and development with the goal of developing a small molecule oral PCSK9 inhibitor that can be taken as a tablet.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exchange for these rights, the Company agreed to pay Serometrix an upfront payment, milestone payments and royalties on net sales of licensed products under the agreement. The Company is obligated to make milestone payments to Serometrix upon the achievement of specified development, regulatory and commercialization milestones. The development milestone payments due under the agreement depend on the licensed product being developed. As part of the agreement, the Company made an upfront cash payment of $12.5 million in December 2020, which was recorded to research and development expense, to Serometrix, with payments in future years tied to specific milestones. The Company has also agreed to pay tiered royalties based on net sales of all products licensed under the agreement of low to mid-single-digit percentages.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3"/>
        </w:trPr>
        <w:tc>
          <w:tcPr>
            <w:tcW w:w="78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440" w:firstLine="8"/>
        <w:spacing w:after="0" w:line="518" w:lineRule="auto"/>
        <w:tabs>
          <w:tab w:leader="none" w:pos="22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 xml:space="preserve">On January 12, 2016, a purported stockholder of the Company filed a putative class action lawsuit in the United States District Court for the Eastern District of Michigan, against the Company and Tim Mayleben, captioned </w:t>
      </w:r>
      <w:r>
        <w:rPr>
          <w:rFonts w:ascii="Times New Roman" w:cs="Times New Roman" w:eastAsia="Times New Roman" w:hAnsi="Times New Roman"/>
          <w:sz w:val="18"/>
          <w:szCs w:val="18"/>
          <w:i w:val="1"/>
          <w:iCs w:val="1"/>
          <w:color w:val="auto"/>
        </w:rPr>
        <w:t>Kevin L. Dougherty v. Esperion Therapeutics, Inc., et al.</w:t>
      </w:r>
      <w:r>
        <w:rPr>
          <w:rFonts w:ascii="Times New Roman" w:cs="Times New Roman" w:eastAsia="Times New Roman" w:hAnsi="Times New Roman"/>
          <w:sz w:val="18"/>
          <w:szCs w:val="18"/>
          <w:color w:val="auto"/>
        </w:rPr>
        <w:t xml:space="preserve"> (No. 16-cv-10089). The lawsuit alleges that the Company and Mr. Mayleben violated Sections 10(b) and 20(a) of the Securities Exchange Act of 1934 and SEC Rule 10b-5 by allegedly failing to disclose in an August 17, 2015, public statement that the FDA would require a cardiovascular outcomes trial before approving the Company’s lead product candidate. The lawsuit seeks, among other things, compensatory damages in connection with an allegedly inflated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stock price between August 18, 2015, and September 28, 2015, as well as attorneys’ fees and costs.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the Company recorded a loss on settlement of $13.25 million during 2021 in selling, general, and administrative expenses on the statements of operations and comprehensive loss, which represents the litigation settlement of $18.25 million offset by $5.0 million in insurance claim proceeds from our insurance carriers.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$0.5 million and $0.6 million for the years ended December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35,191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and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gridSpan w:val="6"/>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6"/>
                <w:szCs w:val="16"/>
                <w:color w:val="auto"/>
              </w:rPr>
            </w:pPr>
          </w:p>
        </w:tc>
        <w:tc>
          <w:tcPr>
            <w:tcW w:w="110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11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gridSpan w:val="6"/>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4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0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4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6"/>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6"/>
                <w:szCs w:val="16"/>
                <w:color w:val="auto"/>
              </w:rPr>
            </w:pPr>
          </w:p>
        </w:tc>
        <w:tc>
          <w:tcPr>
            <w:tcW w:w="1100" w:type="dxa"/>
            <w:vAlign w:val="bottom"/>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11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gridSpan w:val="6"/>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2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8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2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other income, net in the statements of operations includes interest income on available-for-sale investments of $2.4 million and $0.1 million, respectively. Other income, net in the statements of operations includes amortization of premiums and discounts on investments of $0.2 million and less than $0.1 million during the years ended December 31, 2022 and 2021, respectively.</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December 31, 2022, remaining contractual maturities of available-for-sale investments classified as current on the balance sheet were less than 12 months. The Company does not intend to sell the investments before maturity.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loss to other income, net in the statements of operations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 inputs:</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 inputs:</w:t>
            </w:r>
          </w:p>
        </w:tc>
        <w:tc>
          <w:tcPr>
            <w:tcW w:w="91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w:t>
            </w:r>
          </w:p>
        </w:tc>
      </w:tr>
      <w:tr>
        <w:trPr>
          <w:trHeight w:val="234"/>
        </w:trPr>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are observable or can be corroborated by market data; and</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1"/>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3 inputs:</w:t>
            </w:r>
          </w:p>
        </w:tc>
        <w:tc>
          <w:tcPr>
            <w:tcW w:w="91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9"/>
        </w:trPr>
        <w:tc>
          <w:tcPr>
            <w:tcW w:w="86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w w:val="99"/>
              </w:rPr>
              <w:t>The following table presents the Company’s financial assets that have been measured at fair value on a recurring basis: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7"/>
        </w:trPr>
        <w:tc>
          <w:tcPr>
            <w:tcW w:w="6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48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19"/>
                <w:szCs w:val="19"/>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notes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3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48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19"/>
                <w:szCs w:val="19"/>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notes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December 31, 2022 or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Liability Related to the Revenue Interest Purchase Agreement (Continued)</w:t>
      </w:r>
    </w:p>
    <w:p>
      <w:pPr>
        <w:spacing w:after="0" w:line="200" w:lineRule="exact"/>
        <w:rPr>
          <w:sz w:val="20"/>
          <w:szCs w:val="20"/>
          <w:color w:val="auto"/>
        </w:rPr>
      </w:pPr>
    </w:p>
    <w:p>
      <w:pPr>
        <w:spacing w:after="0" w:line="33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w:t>
      </w:r>
    </w:p>
    <w:p>
      <w:pPr>
        <w:spacing w:after="0" w:line="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8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19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6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In accordance with the guidance in ASC 470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 “Debt—Modifications and Extinguishments,” the RIPA Amendment 2 was accounted for as a debt modification. The amendment resulted in a $0.1 million loss on modification of debt, consisting of third-party fees associated with the transaction, which is included in selling, general, and administrative expenses in the statements of operations for the year ended December 31, 2021.</w:t>
      </w:r>
    </w:p>
    <w:p>
      <w:pPr>
        <w:spacing w:after="0" w:line="19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Liability Related to the Revenue Interest Purchase Agreement (Continued)</w:t>
      </w:r>
    </w:p>
    <w:p>
      <w:pPr>
        <w:spacing w:after="0" w:line="200" w:lineRule="exact"/>
        <w:rPr>
          <w:sz w:val="20"/>
          <w:szCs w:val="20"/>
          <w:color w:val="auto"/>
        </w:rPr>
      </w:pPr>
    </w:p>
    <w:p>
      <w:pPr>
        <w:spacing w:after="0" w:line="3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 $177,777,778, and (c) the Purchasers and Purchaser Agent waived certain claimed defaults, breaches and Put Option Events under the RIPA and other related documents that may have occurred as a result of the Company’s opening of a new bank account.</w:t>
      </w:r>
    </w:p>
    <w:p>
      <w:pPr>
        <w:spacing w:after="0" w:line="161"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In accordance with the guidance in ASC 470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 “Debt—Modifications and Extinguishments,” the RIPA Amendment 3 was accounted for as a debt modification. The amendment resulted in a less than $0.1 million loss on modification of debt, consisting of third-party fees associated with the transaction, which is included in selling, general, and administrative expenses in the statements of operations for the year ended December 31, 2022.</w:t>
      </w:r>
    </w:p>
    <w:p>
      <w:pPr>
        <w:spacing w:after="0" w:line="1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arrangement, as of December 31, 2022, the Company has recorded a liability, referred to as the “Revenue interest liability” on the balance sheet, of $243.6 million, net of $0.3 million of capitalized issuance costs in connection with the RIPA, which will be amortized to interest expense over the estimated term of the RIPA. The total redemption amount is equal to 225% of the Cumulative Purchaser Payments, or $400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increase or decrease in future net sales will materially impact the revenue interest liability, interest expense and the time period for repayment. The Company recorded approximately $44.6 million and $33.9 million in interest expense related to this arrangement for the years ended December 31, 2022 and 2021, respectively.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repayment of the RIPA to Oberland does not have a fixed repayment schedule, rather it will be completely repaid and extinguished when the Company has repaid 225% of the Cumulative Purchaser Payments.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Liability Related to the Revenue Interest Purchase Agreement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$250 million in an annual aggregate year, would result in a repayment obligation of approximately $10.0 million or 10.0% at the 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rate in the first year. Annual net sales for a calendar year exceeding $250 million would result in a repayment obligation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million or 3.3% for every $100 million of sales above the threshold. As the U.S. net sales were less than $350 million for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Covered Territory was expanded to include worldwide sales beginning in 2022. The Company’s repayments of the RIPA are directly tied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of its net sales, and as the Company’s net sales grow, the Company expects the related repayments of the RIPA to grow as well.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expects to repay $24.8 million in the next twelve months.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effective annual imputed interest rate is 18.3% as of December 31, 2022. Payments made to Oberland as a result of the Company’s net sales will reduce the revenue interest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years ended December 31, 2022 and 2021:</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176,604</w:t>
            </w:r>
          </w:p>
        </w:tc>
        <w:tc>
          <w:tcPr>
            <w:tcW w:w="0" w:type="dxa"/>
            <w:vAlign w:val="bottom"/>
          </w:tcPr>
          <w:p>
            <w:pPr>
              <w:spacing w:after="0"/>
              <w:rPr>
                <w:sz w:val="1"/>
                <w:szCs w:val="1"/>
                <w:color w:val="auto"/>
              </w:rPr>
            </w:pPr>
          </w:p>
        </w:tc>
      </w:tr>
      <w:tr>
        <w:trPr>
          <w:trHeight w:val="229"/>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Oberland funding upon execution of Amendment No. 2, net of issuance costs ($83)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0" w:type="dxa"/>
            <w:vAlign w:val="bottom"/>
          </w:tcPr>
          <w:p>
            <w:pPr>
              <w:spacing w:after="0"/>
              <w:rPr>
                <w:sz w:val="1"/>
                <w:szCs w:val="1"/>
                <w:color w:val="auto"/>
              </w:rPr>
            </w:pPr>
          </w:p>
        </w:tc>
      </w:tr>
      <w:tr>
        <w:trPr>
          <w:trHeight w:val="229"/>
        </w:trPr>
        <w:tc>
          <w:tcPr>
            <w:tcW w:w="9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Revenue interest payments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257,039</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Repayment upon execution of Amendment No. 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0" w:type="dxa"/>
            <w:vAlign w:val="bottom"/>
          </w:tcPr>
          <w:p>
            <w:pPr>
              <w:spacing w:after="0"/>
              <w:rPr>
                <w:sz w:val="1"/>
                <w:szCs w:val="1"/>
                <w:color w:val="auto"/>
              </w:rPr>
            </w:pPr>
          </w:p>
        </w:tc>
      </w:tr>
      <w:tr>
        <w:trPr>
          <w:trHeight w:val="229"/>
        </w:trPr>
        <w:tc>
          <w:tcPr>
            <w:tcW w:w="9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Revenue interest payments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243,605</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Convertible Notes</w:t>
      </w:r>
    </w:p>
    <w:p>
      <w:pPr>
        <w:spacing w:after="0" w:line="2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2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Convertible Notes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$8.9 million of issuance costs related to the issuance of the Convertible Notes. Prior to the adoption of ASU 2020-06 on January 1, 2021, the $271.1 million of proceeds received from the issuance of the Convertible Notes were allocated between long-term debt (the “liability component”) of $177.6 million and additional paid-in capital (the “equity component”) of $93.5 million.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the adoption of ASU 2020-06 as of January 1, 2021, the Company reports the convertible debt liability at the aggregate principal amount less unamortized issuance costs. This resulted in the reclassification of the $93.5 million of the Company’s convertible notes recognized at December 31, 2020 from additional paid in capital to the convertible debt liability. The portion of interest expense previously recognized for the accretion of the convertible debt liability and the true-up of the amortization of the issuance costs of $1.5 million was recorded as an adjustment to accumulated deficit.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accounted for the Exchange as an extinguishment of a liability and calculated the gain on extinguishment of debt under ASC 470-50-40, which requires the difference between the reacquisition price of the debt and the net carrying amount of the extinguished debt to be recognized in the income statement. The reacquisition price of the Convertible Notes was calculated by the number of shares exchanged times the closing price of the common shares on the day of settlement plus any transactional costs incurred during the reacquisition. The net carrying amount of the debt was calculated by the face value of the notes less the unamortized debt issuance costs associated with the face value of the notes. The Company recognized a gain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Convertible Notes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in "Other Income" on the Statements of Operations and Comprehensive Loss during the year ended December 31,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principal amount of convertible notes was $265.0 million, and the unamortized debt discount and issuance costs were</w:t>
      </w:r>
    </w:p>
    <w:p>
      <w:pPr>
        <w:spacing w:after="0" w:line="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$5.1 million, for a net carrying amount of $259.9 million. As of December 31, 2021, the principal amount of convertible notes was $265.0 million, and the unamortized debt discount and issuance costs were $6.7 million, for a net carrying amount of $258.3 million.</w:t>
      </w:r>
    </w:p>
    <w:p>
      <w:pPr>
        <w:spacing w:after="0" w:line="2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recorded $12.2 million and $12.4 million of interest expense during the years ended December 31, 2022 and 2021, respectively, relating to the cash interest on the convertible notes due semi-annually and amortization of the debt issuance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no Convertible Notes were convertible pursuant to their terms. The estimated fair value of the Convertible Notes was</w:t>
      </w:r>
    </w:p>
    <w:p>
      <w:pPr>
        <w:spacing w:after="0" w:line="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$145.9 million as of December 31, 2022 and $140.3 million as of December 31, 2021. The estimated fair value of the Convertible Notes was determined through consideration of quoted market prices. As of December 31, 2022, the if-converted value of the Convertible Notes did not exceed the principal value of those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December 31, 2022, the Company had not purchased any shares under the convertible note capped call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December 31, 2022, 71,174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August 3, 2021, the Company filed an automatically effective registration statement on Form S-3ASR (the “Registration Statement”) with the SEC which registers the offering, issuance and sale of an unspecified amount of common stock, preferred stock, debt securities, warrants and/or units of any combination thereof. The Company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(the “ATM Program”). During the year ended December 31, 2021, the Company issued 897,364 shares of common stock resulting in net proceeds of approximately $9.7 million after deducting $0.5 million of underwriting discounts and commissions and other expenses, pursuant to the ATM Program.</w:t>
      </w:r>
    </w:p>
    <w:p>
      <w:pPr>
        <w:spacing w:after="0" w:line="20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April 15, 2022, the Company filed a new registration statement on Form S-3 to replace its prior automatically effective registration statement on Form S-3ASR filed on August 3, 2021, which registers the offering, issuance and sale of up to $239 million of common stock from time to time in “at-the-market” offerings (the “New ATM Program”).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to be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2022, the Company issued 13,043,797 shares of common stock resulting in net proceeds of approximately $90.8 million after deducting $3.1 million of underwriting discounts and commissions and other expenses, pursuant to the New ATM Program.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w:t>
      </w:r>
    </w:p>
    <w:p>
      <w:pPr>
        <w:spacing w:after="0" w:line="2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December 2, 2021, the Company entered into an underwriting agreement with H.C. Wainwright &amp; Co., LLC ("Wainwright"). Pursuant to the underwriting agreement, the Company agreed to sell, in a firm commitment offering, 32,142,858 shares of common stock, $0.001 par value per share, and accompanying warrants to purchase up to an aggregate of 32,142,858 shares of common stock, as well as up to 4,821,428 additional shares of common stock and/or accompanying warrants to purchase an aggregate of up to 4,821,428 shares of its common stock that may be purchased by Wainwright pursuant to a 30-day option granted to Wainwright by the Company (the "Offering"). Each share of common stock was sold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 common warrant to purchase one share of common stock, at an exercise price of $9.00 per share. Such common warrants are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and will expire two years from the date of issuance. The combined public offering price of each share of common stock and accompanying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warrant sold in the Offering was $7.00, and the combined price of each share of common stock and accompanying common warrant purchased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 from the Company was $6.51. On December 3, 2021, Wainwright exercised its option to purchase additional warrants to purchase 4,821,428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The Offering, including the additional warrants sold pursuant to the exercise of Wainwright's option to purchase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closed on December 7, 2021. The aggregate net proceeds received by the Company from the offering was $208.7 million, after deducting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 million of underwriting discounts and commissions and other estimated offering expenses payable by the Company and excluding the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from the exercise of the common warrants.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warrants outstanding that were exercisable for a total of 36,964,286 shares of common stock at a weighted-average exercise price of $9.00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Stock Option and Incentive Plan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2013 Stock Option and Incentive Plan (the “2013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years ended December 31, 2022 and 2021, the Company recognized $0.4 million and $0.7 million of stock compensation expense related to the ESPP, respectively. As of December 31, 2022, there have been 339,422 shares issued and 485,578 shares reserved for future issuance under the ESPP.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Inducement Equity Plan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2017, and as amended in 2019, the Company's board of directors approved the 2017 Inducement Equity Plan (the "2017 Plan"). The number of shares of common stock available for awards under the 2017 Plan is 1,150,000,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Stock Option and Incentive Plan</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May 2015, the Company’s stockholders approved the amended and restated 2013 Plan which, among other things, increased the number of shares of common stock reserved for issuance thereunder. The number of shares of common stock available for awards under the 2013 Plan was increased</w:t>
      </w:r>
    </w:p>
    <w:p>
      <w:pPr>
        <w:ind w:right="80"/>
        <w:spacing w:after="0" w:line="252" w:lineRule="auto"/>
        <w:rPr>
          <w:sz w:val="20"/>
          <w:szCs w:val="20"/>
          <w:color w:val="auto"/>
        </w:rPr>
      </w:pPr>
      <w:r>
        <w:rPr>
          <w:rFonts w:ascii="Times New Roman" w:cs="Times New Roman" w:eastAsia="Times New Roman" w:hAnsi="Times New Roman"/>
          <w:sz w:val="18"/>
          <w:szCs w:val="18"/>
          <w:color w:val="auto"/>
        </w:rPr>
        <w:t>by 923,622 shares from 2,051,378 shares to 2,975,000 shares, plus (i)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2013 Plan and the Company’s 2008 Incentive Stock Option and Restricted Stock Plan are added back to the shares of common stock available for issuance under the 2013 Plan, and (ii) on January 1, 2016, and each January 1, thereafter, the number of shares of common stock reserved and available for issuance under the 2013 Plan will be cumulatively increased by 2.5% of the number of shares of common stock outstanding on the immediately preceding December 31, or such lesser number of shares of common stock determined by the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 (Continued)</w:t>
      </w:r>
    </w:p>
    <w:p>
      <w:pPr>
        <w:spacing w:after="0" w:line="200" w:lineRule="exact"/>
        <w:rPr>
          <w:sz w:val="20"/>
          <w:szCs w:val="20"/>
          <w:color w:val="auto"/>
        </w:rPr>
      </w:pPr>
    </w:p>
    <w:p>
      <w:pPr>
        <w:spacing w:after="0" w:line="33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committee. The 2013 Plan provides for the granting of stock options, stock appreciation rights, restricted stock awards, RSUs, unrestricted stock awards, cash-based awards, performance share awards and dividend equivalent rights.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stock options, performance-based stock options ("PBSOs"), RSUs and performance-based restricted stock units ("PBRSUs"). The fair value of RSUs and PBRSUs is determined by the closing market price of the Company’s common stock on the date of grant. The fair value of stock options and PBSOs is calculated using a Black-Scholes option-pricing model. Compensation costs related to equity instruments granted are recognized over the requisite service periods of the awards on a straight-line basis at the grant-date fair value. The Company accounts for forfeitures as they occur.</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2022 Plan, 2017 Plan, and 2013 Plan the vesting of options granted or restricted awards given will be determined individually with each option grant. Generally, 25 percent of the granted amount will vest upon the first anniversary of the option grant with the remainder vesting ratably on the first day of each calendar quarter for the following three years. Stock options have a 10-year life and expire if not exercised within that period, or if not exercised within 90 days of cessation of providing service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year ended December 31, 2022:</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50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7"/>
                <w:szCs w:val="17"/>
                <w:color w:val="auto"/>
              </w:rPr>
            </w:pPr>
          </w:p>
        </w:tc>
        <w:tc>
          <w:tcPr>
            <w:tcW w:w="13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5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7"/>
                <w:szCs w:val="17"/>
                <w:color w:val="auto"/>
              </w:rPr>
            </w:pPr>
          </w:p>
        </w:tc>
        <w:tc>
          <w:tcPr>
            <w:tcW w:w="13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3,214,537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cancelled (vested and unvested)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3,842,737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204"/>
        </w:trPr>
        <w:tc>
          <w:tcPr>
            <w:tcW w:w="4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3,842,737</w:t>
            </w:r>
          </w:p>
        </w:tc>
        <w:tc>
          <w:tcPr>
            <w:tcW w:w="2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1,658</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2,517,412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4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stock options were exercised during the year ended December 31, 2022. The total pre-tax intrinsic value of stock options exercised during the years ended December 31, 2021 was $4.7 million.</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shows the weighted-average assumptions used to compute the stock-based compensation costs for the stock options granted to employees during each of the two years ending December 31, 2022, using the Black-Scholes option-pricing model:</w:t>
      </w:r>
    </w:p>
    <w:p>
      <w:pPr>
        <w:spacing w:after="0" w:line="34"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
        </w:trPr>
        <w:tc>
          <w:tcPr>
            <w:tcW w:w="74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20" w:type="dxa"/>
            <w:vAlign w:val="bottom"/>
            <w:shd w:val="clear" w:color="auto" w:fill="CCEEFF"/>
          </w:tcPr>
          <w:p>
            <w:pPr>
              <w:spacing w:after="0"/>
              <w:rPr>
                <w:sz w:val="19"/>
                <w:szCs w:val="19"/>
                <w:color w:val="auto"/>
              </w:rPr>
            </w:pP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of options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r>
      <w:tr>
        <w:trPr>
          <w:trHeight w:val="23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r>
    </w:tbl>
    <w:p>
      <w:pPr>
        <w:spacing w:after="0" w:line="2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risk-free interest rate assumption was based on the United States Treasury’s rates for U.S. Treasury zero-coupon bonds with maturities similar to those of the expected term of the award being valued. The assumed dividend yield was based on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 (Continued)</w:t>
      </w:r>
    </w:p>
    <w:p>
      <w:pPr>
        <w:spacing w:after="0" w:line="200" w:lineRule="exact"/>
        <w:rPr>
          <w:sz w:val="20"/>
          <w:szCs w:val="20"/>
          <w:color w:val="auto"/>
        </w:rPr>
      </w:pPr>
    </w:p>
    <w:p>
      <w:pPr>
        <w:spacing w:after="0" w:line="3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Company’s expectation of not paying dividends in the foreseeable future. The weighted-average expected life of the options was calculated using the simplified method as prescribed by the Securities and Exchange Commission Staff Accounting Bulletin No. 107 (“SAB No. 107”). This decision was based on the lack of relevant historical data due to the Company’s limited historical experience. The Company estimates volatility based on the Company's historical stock prices over the expected life of the stock options.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values of stock options granted during the years ended December 31, 2022 and 2021, were $3.38 and $19.19, respectively. During the years ended December 31, 2022 and 2021, the Company recognized stock-based compensation expense related to stock options of $5.6 million and $14.6 million, including $0.6 million and $1.5 million that was capitalized into inventory, respectively.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approximately $7.7 million of unrecognized compensation cost related to unvested options, which will be recognized over a weighted-average period of approximately 2.5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year ended December 31, 2022:</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3"/>
        </w:trPr>
        <w:tc>
          <w:tcPr>
            <w:tcW w:w="7880" w:type="dxa"/>
            <w:vAlign w:val="bottom"/>
          </w:tcPr>
          <w:p>
            <w:pPr>
              <w:spacing w:after="0"/>
              <w:rPr>
                <w:sz w:val="17"/>
                <w:szCs w:val="17"/>
                <w:color w:val="auto"/>
              </w:rPr>
            </w:pP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7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(440,697)</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1,768,185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stock-based compensation expense related to RSUs of $6.6 million, including $0.7 million that was capitalized into inventory, and $8.1 million, including $0.7 million that was capitalized into inventory, respectively. As of December 31, 2022, there was approximately $14.3 million of unrecognized stock-based compensation expense related to unvested RSUs, which will be recognized over a weighted-average period of approximately 2.7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year ended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68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Numbers of</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2"/>
        </w:trPr>
        <w:tc>
          <w:tcPr>
            <w:tcW w:w="5860" w:type="dxa"/>
            <w:vAlign w:val="bottom"/>
          </w:tcPr>
          <w:p>
            <w:pPr>
              <w:spacing w:after="0"/>
              <w:rPr>
                <w:sz w:val="17"/>
                <w:szCs w:val="17"/>
                <w:color w:val="auto"/>
              </w:rPr>
            </w:pPr>
          </w:p>
        </w:tc>
        <w:tc>
          <w:tcPr>
            <w:tcW w:w="168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December 31, 2021</w:t>
            </w:r>
          </w:p>
        </w:tc>
        <w:tc>
          <w:tcPr>
            <w:tcW w:w="1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(178,700)</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461,250</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the PBRSUs was approximately $1.8 million, including $0.2 million that was capitalized into inventory for the year ended December 31, 2022. Stock-based compensation related to PBRSUs was approximately $0.8 million for the year ended December 31, 2021. As of December 31, 2022, there was approximately $1.3 million of unrecognized stock-based compensation expense related to unvested PBRSUs, which will be recognized over a weighted-average period of approximately 1.5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2021 and 2022, the Company granted PBSOs from the 2013 Plan and the 2022 Plan, respectively,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fair value of the PBSOs is based on the Black Scholes model as detailed in the stock option section above. The Company expects the performance criteria to be met. The weighted-average grant-date fair value of PBSOs granted during the years ended December 31, 2022 and December 31, 2021 was $4.36 and $6.04,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performance-based stock options for the year ended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480" w:type="dxa"/>
            <w:vAlign w:val="bottom"/>
          </w:tcPr>
          <w:p>
            <w:pPr>
              <w:spacing w:after="0"/>
              <w:rPr>
                <w:sz w:val="17"/>
                <w:szCs w:val="17"/>
                <w:color w:val="auto"/>
              </w:rPr>
            </w:pPr>
          </w:p>
        </w:tc>
        <w:tc>
          <w:tcPr>
            <w:tcW w:w="15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PBSOs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122,700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403,000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(26,500)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499,200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5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499,200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Stock-based compensation related to the PBSOs was approximately $0.8 million and $0.1 million for the years ended December 31, 2022 and 2021, respectively. As of December 31, 2022, there was approximately $1.5 million of unrecognized stock-based compensation expense related to unvested PBSOs, which will be recognized over a weighted-average period of approximately 1.4 years. There were no PBSOs exercisable as of December 31,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2008, the Company adopted the Esperion Therapeutics, Inc. 401(k) Plan (the “401(k) Plan”), which qualifies as a deferred salary arrangement under Section 401(k) of the Internal Revenue Code. Under the 401(k) Plan, participating employees may defer a portion of their pretax earnings. The Company may, at its sole discretion, contribute for the benefit of eligible employees. Company contributions to the 401(k) Plan during the years ended December 31, 2022 and 2021, were $0.7 million and $2.2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has operating leases primarily related to the Company's principal executive office, automobile leases and other IT related equipment. The lease for the principal executive office was renewed in December 2022 and has a lease term of 5 years from November 1, 2023, and the automobile leases and IT equipment leases primarily have a term of 3 years. During the years ended December 31, 2022 and December 31, 2021, the Company recognized $1.3 million and $2.4 million, respectively, of operating lease costs, recognized on the statements of operations and comprehensive loss, and paid cash for the amounts included in the measurement of lease liabilities of $1.2 million and $2.4 million, respectively, which were included in operating cash flows on the statements of cash flows. At December 31, 2022 and December 31, 2021, the weighted-average remaining lease term of operating leases was 4.7 years and 1.4 years, respectively, and the weighted average discount rate was 7.7% and 4.7%, respectively. There was $0.6 million and $0.1 million in right-of-use assets obtained in exchange for lease obligations for the twelve months ended December 31, 2022 and December 31, 2021, respectively. The Company had no additional operating and finance leases that have not yet commenced as of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future maturities of operating lease liabilities as of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9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leases as of December 31, 2022:</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8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right of use operating lease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obligations under operating leases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years ended December 31, 2022 and 2021 because the Company has incurred operating losses since inception. At December 31, 2022, the Company concluded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net deferred tax assets, before valuation allowance, of approximately $352.1 million and $284.2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Realization of the deferred assets is dependent upon future taxable income, if any, the amount and timing of which are uncertain.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net deferred tax assets have been fully offset by a valuation allowance. As of December 31, 2022 and 2021, the Company had federal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(“NOL”) carryforwards of approximately $950.8 million and $894.3 million, respectively. Of the total federal NOL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$347.4 million will expire at various dates beginning in 2028, if not utilized; the remaining federal NOLs do not expire. As of December 31,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had state NOL carryforwards of approximately $698.4 million and $662.2 million, respectively. The state NOL carryforwards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at various dates beginning in 2022, if not utilized.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research and developmental tax credits of $21.0 million. The tax credit carryforwards will expire beginning in 2031, if not utilized.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states. With few exceptions, the Company is no longer subject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or state and local income tax examinations by tax authorities for years before 2016.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w:t>
      </w:r>
    </w:p>
    <w:p>
      <w:pPr>
        <w:spacing w:after="0" w:line="138"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74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period adjustments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19"/>
                <w:szCs w:val="19"/>
                <w:color w:val="auto"/>
              </w:rPr>
            </w:pPr>
          </w:p>
        </w:tc>
      </w:tr>
      <w:tr>
        <w:trPr>
          <w:trHeight w:val="45"/>
        </w:trPr>
        <w:tc>
          <w:tcPr>
            <w:tcW w:w="64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r>
      <w:tr>
        <w:trPr>
          <w:trHeight w:val="223"/>
        </w:trPr>
        <w:tc>
          <w:tcPr>
            <w:tcW w:w="740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Effective income tax rate</w:t>
            </w:r>
          </w:p>
        </w:tc>
        <w:tc>
          <w:tcPr>
            <w:tcW w:w="6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top w:val="single" w:sz="8" w:color="CCEEFF"/>
            </w:tcBorders>
            <w:shd w:val="clear" w:color="auto" w:fill="CCEEFF"/>
          </w:tcPr>
          <w:p>
            <w:pPr>
              <w:spacing w:after="0"/>
              <w:rPr>
                <w:sz w:val="19"/>
                <w:szCs w:val="19"/>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If the Company experiences a greater than 50 percentage point aggregate change in ownership of certain significant stockholders over a three-year period, a Section 382 ownership change could be deemed to have occurred. If a Section 382 change occurs, the Company’s future utilization of the net operating loss carryforwards and credits as of the ownership change will be subject to an annual limitation under Section 382 of the Internal Revenue Code of 1986, as amended, and similar state provisions. Some of the U.S. Federal and State net operating loss and credit carryforwards are subject to annual limitations due to ownership changes. The annual limitation may result in the expiration of net operating losses or credit carryforwards before utilization. The Company determined a change of ownership occurred in 2017 and 2021.</w:t>
      </w:r>
    </w:p>
    <w:p>
      <w:pPr>
        <w:spacing w:after="0" w:line="19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The Company recognized no material adjustment for unrecognized income tax benefits. Through December 31, 2022, the Company had accrued $2.1 million for unrecognized income tax benefits and related interest and penalties against credits.</w:t>
      </w:r>
    </w:p>
    <w:p>
      <w:pPr>
        <w:spacing w:after="0" w:line="2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The Company does not expect this amount to change in the next twelve months. At December 31, 2022, all of the amount of unrecognized tax benefits, if recognized, would result in a deferred tax asset and corresponding increase in the entity’s valuation allowance. Such unrecognized tax benefit would not affect the effective rate if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20" w:type="dxa"/>
            <w:vAlign w:val="bottom"/>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for tax positions of prior year</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20" w:type="dxa"/>
            <w:vAlign w:val="bottom"/>
          </w:tcPr>
          <w:p>
            <w:pPr>
              <w:spacing w:after="0"/>
              <w:rPr>
                <w:sz w:val="19"/>
                <w:szCs w:val="19"/>
                <w:color w:val="auto"/>
              </w:rPr>
            </w:pPr>
          </w:p>
        </w:tc>
      </w:tr>
      <w:tr>
        <w:trPr>
          <w:trHeight w:val="608"/>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summarized in the table below:</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60" w:type="dxa"/>
            <w:vAlign w:val="bottom"/>
            <w:gridSpan w:val="6"/>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gridSpan w:val="6"/>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20" w:type="dxa"/>
            <w:vAlign w:val="bottom"/>
          </w:tcPr>
          <w:p>
            <w:pPr>
              <w:spacing w:after="0"/>
              <w:rPr>
                <w:sz w:val="20"/>
                <w:szCs w:val="20"/>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242,584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219,237</w:t>
            </w: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22,735</w:t>
            </w:r>
          </w:p>
        </w:tc>
      </w:tr>
      <w:tr>
        <w:trPr>
          <w:trHeight w:val="229"/>
        </w:trPr>
        <w:tc>
          <w:tcPr>
            <w:tcW w:w="2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tax credits, net of reserves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r>
      <w:tr>
        <w:trPr>
          <w:trHeight w:val="230"/>
        </w:trPr>
        <w:tc>
          <w:tcPr>
            <w:tcW w:w="2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Disallowed interest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16,146</w:t>
            </w: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Temporary differences</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r>
      <w:tr>
        <w:trPr>
          <w:trHeight w:val="223"/>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352,513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284,700</w:t>
            </w: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(352,113)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(284,154)</w:t>
            </w:r>
          </w:p>
        </w:tc>
      </w:tr>
      <w:tr>
        <w:trPr>
          <w:trHeight w:val="248"/>
        </w:trPr>
        <w:tc>
          <w:tcPr>
            <w:tcW w:w="2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Common Share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84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74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24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3,842,737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3,214,537</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1,768,185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698,704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2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461,250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4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12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for common stock</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36,964,286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36,964,286</w:t>
            </w:r>
          </w:p>
        </w:tc>
        <w:tc>
          <w:tcPr>
            <w:tcW w:w="12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24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51,570,226</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49,670,635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
        </w:trPr>
        <w:tc>
          <w:tcPr>
            <w:tcW w:w="7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898"/>
        </w:trPr>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F-32</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Statements of Cash Flows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presented on the balance sheets to the same amounts presented on the statements of cash flows on December 31, 2022 and 2021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on the statements of cash flows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440"/>
              <w:spacing w:after="0"/>
              <w:rPr>
                <w:sz w:val="20"/>
                <w:szCs w:val="20"/>
                <w:color w:val="auto"/>
              </w:rPr>
            </w:pPr>
            <w:r>
              <w:rPr>
                <w:rFonts w:ascii="Times New Roman" w:cs="Times New Roman" w:eastAsia="Times New Roman" w:hAnsi="Times New Roman"/>
                <w:sz w:val="18"/>
                <w:szCs w:val="18"/>
                <w:color w:val="auto"/>
              </w:rPr>
              <w:t>F-33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60" w:lineRule="exact"/>
        <w:rPr>
          <w:sz w:val="20"/>
          <w:szCs w:val="20"/>
          <w:color w:val="auto"/>
        </w:rPr>
      </w:pPr>
    </w:p>
    <w:p>
      <w:pPr>
        <w:jc w:val="center"/>
        <w:ind w:left="340" w:right="16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WAIVER AND AMENDMENT NO. 3 TO REVENUE INTEREST PURCHASE AGREEMENT AND AMENDMENT NO. 2 TO SECURITY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Waiver and Amendment No. 3 to Revenue Interest Purchase Agreement and Amendment No. 2 to Security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among Esperion Therapeutics, Inc., a Delaware corporation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Eiger Partners II Fund, a sub-fund of Interlaken ICAV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and Eiger III SA LLC, as collateral agent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 for the Purchaser (“</w:t>
      </w:r>
      <w:r>
        <w:rPr>
          <w:rFonts w:ascii="Times New Roman" w:cs="Times New Roman" w:eastAsia="Times New Roman" w:hAnsi="Times New Roman"/>
          <w:sz w:val="21"/>
          <w:szCs w:val="21"/>
          <w:u w:val="single" w:color="auto"/>
          <w:color w:val="auto"/>
        </w:rPr>
        <w:t>Purchaser Agent</w:t>
      </w:r>
      <w:r>
        <w:rPr>
          <w:rFonts w:ascii="Times New Roman" w:cs="Times New Roman" w:eastAsia="Times New Roman" w:hAnsi="Times New Roman"/>
          <w:sz w:val="21"/>
          <w:szCs w:val="21"/>
          <w:color w:val="auto"/>
        </w:rPr>
        <w:t>”), effective as of November 23, 2022 (the “</w:t>
      </w:r>
      <w:r>
        <w:rPr>
          <w:rFonts w:ascii="Times New Roman" w:cs="Times New Roman" w:eastAsia="Times New Roman" w:hAnsi="Times New Roman"/>
          <w:sz w:val="21"/>
          <w:szCs w:val="21"/>
          <w:u w:val="single" w:color="auto"/>
          <w:color w:val="auto"/>
        </w:rPr>
        <w:t>Third Amendment Effective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Reference is hereby made to (a) the Revenue Interest Purchase Agreement by and among the Company, the Purchasers (as defined therein) and the Purchaser Agent, dated effective as of June 26, 2019 (as amended by the Amendment No. 1 to Revenue Interest Purchase Agreement, dated as of November 9, 2020, the Amendment No. 2 to Revenue Interest Purchase Agreement, dated as of April 26, 2021, and as may be further amended, restated, supplemented or other modified from time to time prior to the date hereof, the “</w:t>
      </w:r>
      <w:r>
        <w:rPr>
          <w:rFonts w:ascii="Times New Roman" w:cs="Times New Roman" w:eastAsia="Times New Roman" w:hAnsi="Times New Roman"/>
          <w:sz w:val="21"/>
          <w:szCs w:val="21"/>
          <w:u w:val="single" w:color="auto"/>
          <w:color w:val="auto"/>
        </w:rPr>
        <w:t>Original RIPA</w:t>
      </w:r>
      <w:r>
        <w:rPr>
          <w:rFonts w:ascii="Times New Roman" w:cs="Times New Roman" w:eastAsia="Times New Roman" w:hAnsi="Times New Roman"/>
          <w:sz w:val="21"/>
          <w:szCs w:val="21"/>
          <w:color w:val="auto"/>
        </w:rPr>
        <w:t>” and, as amended by this Amendment, the “</w:t>
      </w:r>
      <w:r>
        <w:rPr>
          <w:rFonts w:ascii="Times New Roman" w:cs="Times New Roman" w:eastAsia="Times New Roman" w:hAnsi="Times New Roman"/>
          <w:sz w:val="21"/>
          <w:szCs w:val="21"/>
          <w:u w:val="single" w:color="auto"/>
          <w:color w:val="auto"/>
        </w:rPr>
        <w:t>RIPA</w:t>
      </w:r>
      <w:r>
        <w:rPr>
          <w:rFonts w:ascii="Times New Roman" w:cs="Times New Roman" w:eastAsia="Times New Roman" w:hAnsi="Times New Roman"/>
          <w:sz w:val="21"/>
          <w:szCs w:val="21"/>
          <w:color w:val="auto"/>
        </w:rPr>
        <w:t>”), and (b) the Security Agreement, dated as of June 28, 2019, by the Company in favor the Purchaser Agent (as amended by the Amendment to Security Agreement and Waiver by and among the Company, the Purchaser and the Purchaser Agent, effective as of May 16, 2021, and as may be further amended, restated, supplemented or otherwise modified from time to time prior to the date hereof, the “</w:t>
      </w:r>
      <w:r>
        <w:rPr>
          <w:rFonts w:ascii="Times New Roman" w:cs="Times New Roman" w:eastAsia="Times New Roman" w:hAnsi="Times New Roman"/>
          <w:sz w:val="21"/>
          <w:szCs w:val="21"/>
          <w:u w:val="single" w:color="auto"/>
          <w:color w:val="auto"/>
        </w:rPr>
        <w:t>Original 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as amended by this Amendment, the “</w:t>
      </w:r>
      <w:r>
        <w:rPr>
          <w:rFonts w:ascii="Times New Roman" w:cs="Times New Roman" w:eastAsia="Times New Roman" w:hAnsi="Times New Roman"/>
          <w:sz w:val="21"/>
          <w:szCs w:val="21"/>
          <w:u w:val="single" w:color="auto"/>
          <w:color w:val="auto"/>
        </w:rPr>
        <w:t>Security Agreement</w:t>
      </w:r>
      <w:r>
        <w:rPr>
          <w:rFonts w:ascii="Times New Roman" w:cs="Times New Roman" w:eastAsia="Times New Roman" w:hAnsi="Times New Roman"/>
          <w:sz w:val="21"/>
          <w:szCs w:val="21"/>
          <w:color w:val="auto"/>
        </w:rPr>
        <w:t>”). Capitalized terms not otherwise defined in this Amendment shall have the meanings set forth in the RIPA, or if not defined therein, in the Security Agreement. The Company, Purchaser and Purchaser Agent are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certain breaches and Put Option Events specifically set forth in the Reservation of Rights Letters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16, 2022, September 3, 2022 and September 20, 2022 addressed to the Company by the Purchaser Agent (the “</w:t>
      </w:r>
      <w:r>
        <w:rPr>
          <w:rFonts w:ascii="Times New Roman" w:cs="Times New Roman" w:eastAsia="Times New Roman" w:hAnsi="Times New Roman"/>
          <w:sz w:val="22"/>
          <w:szCs w:val="22"/>
          <w:u w:val="single" w:color="auto"/>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Put Option Events</w:t>
      </w:r>
      <w:r>
        <w:rPr>
          <w:rFonts w:ascii="Times New Roman" w:cs="Times New Roman" w:eastAsia="Times New Roman" w:hAnsi="Times New Roman"/>
          <w:sz w:val="22"/>
          <w:szCs w:val="22"/>
          <w:color w:val="auto"/>
        </w:rPr>
        <w:t>”) have occurred;</w:t>
      </w:r>
    </w:p>
    <w:p>
      <w:pPr>
        <w:spacing w:after="0" w:line="193" w:lineRule="exact"/>
        <w:rPr>
          <w:sz w:val="20"/>
          <w:szCs w:val="20"/>
          <w:color w:val="auto"/>
        </w:rPr>
      </w:pPr>
    </w:p>
    <w:p>
      <w:pPr>
        <w:ind w:right="20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requested that the Purchaser and the Purchaser Agent waive the Specified Events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and, subject to the terms and conditions herein, the Purchaser and the Purchaser Agent have agreed to waive the Specified Events;</w:t>
      </w:r>
    </w:p>
    <w:p>
      <w:pPr>
        <w:spacing w:after="0" w:line="188"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Purchaser and the Company have agreed to a one time partial call with regards to the Revenue Interests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Partial Call</w:t>
      </w:r>
      <w:r>
        <w:rPr>
          <w:rFonts w:ascii="Times New Roman" w:cs="Times New Roman" w:eastAsia="Times New Roman" w:hAnsi="Times New Roman"/>
          <w:sz w:val="22"/>
          <w:szCs w:val="22"/>
          <w:color w:val="auto"/>
        </w:rPr>
        <w:t>”); and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without waiving or altering any previously-agreed conditions, requirements, or representations made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agreement between the Parties, except as otherwise expressly provided herein, the Parties wish to amend the Original RIPA pursuant to Section 8.08 thereof and the Original Security Agreement pursuant to Section 8.4 thereof, as more fully set forth in this Amendment.</w:t>
      </w:r>
    </w:p>
    <w:p>
      <w:pPr>
        <w:sectPr>
          <w:pgSz w:w="11900" w:h="16838" w:orient="portrait"/>
          <w:cols w:equalWidth="0" w:num="1">
            <w:col w:w="11240"/>
          </w:cols>
          <w:pgMar w:left="320" w:top="117" w:right="339" w:bottom="1440" w:gutter="0" w:footer="0" w:header="0"/>
        </w:sectPr>
      </w:pPr>
    </w:p>
    <w:bookmarkStart w:id="126" w:name="page127"/>
    <w:bookmarkEnd w:id="126"/>
    <w:p>
      <w:pPr>
        <w:spacing w:after="0" w:line="221" w:lineRule="exact"/>
        <w:rPr>
          <w:sz w:val="20"/>
          <w:szCs w:val="20"/>
          <w:color w:val="auto"/>
        </w:rPr>
      </w:pPr>
    </w:p>
    <w:p>
      <w:pPr>
        <w:ind w:right="12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sufficiency and receipt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intending to be legally bound do hereby agree as follows:</w:t>
      </w:r>
    </w:p>
    <w:p>
      <w:pPr>
        <w:spacing w:after="0" w:line="176" w:lineRule="exact"/>
        <w:rPr>
          <w:sz w:val="20"/>
          <w:szCs w:val="20"/>
          <w:color w:val="auto"/>
        </w:rPr>
      </w:pPr>
    </w:p>
    <w:p>
      <w:pPr>
        <w:ind w:left="660" w:hanging="4"/>
        <w:spacing w:after="0" w:line="250" w:lineRule="auto"/>
        <w:tabs>
          <w:tab w:leader="none" w:pos="87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Partial Call. </w:t>
      </w:r>
      <w:r>
        <w:rPr>
          <w:rFonts w:ascii="Times New Roman" w:cs="Times New Roman" w:eastAsia="Times New Roman" w:hAnsi="Times New Roman"/>
          <w:sz w:val="22"/>
          <w:szCs w:val="22"/>
          <w:color w:val="auto"/>
        </w:rPr>
        <w:t>Within two Business Days of the date hereof, the Company will pay to the Purchaser,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Purchaser Agent providing the notice and instruction specified in the next succeeding sentence, a partial call payment of $50,000,000 in respect of the Partial Call (the “</w:t>
      </w:r>
      <w:r>
        <w:rPr>
          <w:rFonts w:ascii="Times New Roman" w:cs="Times New Roman" w:eastAsia="Times New Roman" w:hAnsi="Times New Roman"/>
          <w:sz w:val="22"/>
          <w:szCs w:val="22"/>
          <w:u w:val="single" w:color="auto"/>
          <w:color w:val="auto"/>
        </w:rPr>
        <w:t>Partial Call Payment</w:t>
      </w:r>
      <w:r>
        <w:rPr>
          <w:rFonts w:ascii="Times New Roman" w:cs="Times New Roman" w:eastAsia="Times New Roman" w:hAnsi="Times New Roman"/>
          <w:sz w:val="22"/>
          <w:szCs w:val="22"/>
          <w:color w:val="auto"/>
        </w:rPr>
        <w:t>”). The Parties agree that such $50,000,000 payment shall be made by means of a transfer of such amount from the Blocked Account (as defined in Section 4.12 of the Security Agreement) as directed by Purchaser Agent to Silicon Valley Bank in accordance with that certain Blocked Deposit Account Control Agreement dated June 28, 2021 by and among the Company, the Purchaser Agent and Silicon Valley Bank (the “</w:t>
      </w:r>
      <w:r>
        <w:rPr>
          <w:rFonts w:ascii="Times New Roman" w:cs="Times New Roman" w:eastAsia="Times New Roman" w:hAnsi="Times New Roman"/>
          <w:sz w:val="22"/>
          <w:szCs w:val="22"/>
          <w:u w:val="single" w:color="auto"/>
          <w:color w:val="auto"/>
        </w:rPr>
        <w:t>Blocked Account Control Agreement</w:t>
      </w:r>
      <w:r>
        <w:rPr>
          <w:rFonts w:ascii="Times New Roman" w:cs="Times New Roman" w:eastAsia="Times New Roman" w:hAnsi="Times New Roman"/>
          <w:sz w:val="22"/>
          <w:szCs w:val="22"/>
          <w:color w:val="auto"/>
        </w:rPr>
        <w:t>”). As a result of the Partial Call, the Cumulative Purchaser Payments shall be reduced to $177,777,777.78. For the avoidance of doubt, the payment in respect of the Partial Call shall not be treated as a Revenue Interest Payment for purposes of the RIPA.</w:t>
      </w:r>
    </w:p>
    <w:p>
      <w:pPr>
        <w:spacing w:after="0" w:line="206" w:lineRule="exact"/>
        <w:rPr>
          <w:rFonts w:ascii="Times New Roman" w:cs="Times New Roman" w:eastAsia="Times New Roman" w:hAnsi="Times New Roman"/>
          <w:sz w:val="22"/>
          <w:szCs w:val="22"/>
          <w:b w:val="1"/>
          <w:bCs w:val="1"/>
          <w:color w:val="auto"/>
        </w:rPr>
      </w:pPr>
    </w:p>
    <w:p>
      <w:pPr>
        <w:ind w:left="880" w:hanging="224"/>
        <w:spacing w:after="0"/>
        <w:tabs>
          <w:tab w:leader="none" w:pos="8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RIPA. </w:t>
      </w:r>
      <w:r>
        <w:rPr>
          <w:rFonts w:ascii="Times New Roman" w:cs="Times New Roman" w:eastAsia="Times New Roman" w:hAnsi="Times New Roman"/>
          <w:sz w:val="22"/>
          <w:szCs w:val="22"/>
          <w:color w:val="auto"/>
        </w:rPr>
        <w:t>Subject to Purchaser’s receipt of the Partial Call Payment: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Section 1.01 of the RIPA shall be amended as follows:</w:t>
      </w:r>
    </w:p>
    <w:p>
      <w:pPr>
        <w:spacing w:after="0" w:line="247" w:lineRule="exact"/>
        <w:rPr>
          <w:sz w:val="20"/>
          <w:szCs w:val="20"/>
          <w:color w:val="auto"/>
        </w:rPr>
      </w:pPr>
    </w:p>
    <w:p>
      <w:pPr>
        <w:ind w:left="1960" w:right="20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The definition of “Cumulative Purchaser Payments” shall be amended and restated in its entirety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Purchaser Payments</w:t>
      </w:r>
      <w:r>
        <w:rPr>
          <w:rFonts w:ascii="Times New Roman" w:cs="Times New Roman" w:eastAsia="Times New Roman" w:hAnsi="Times New Roman"/>
          <w:sz w:val="22"/>
          <w:szCs w:val="22"/>
          <w:color w:val="auto"/>
        </w:rPr>
        <w:t>” means $177,777,777.78.</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The definition of “Milestone” is hereby amended and restated in its entirety with the following:</w:t>
      </w:r>
    </w:p>
    <w:p>
      <w:pPr>
        <w:spacing w:after="0" w:line="251" w:lineRule="exact"/>
        <w:rPr>
          <w:sz w:val="20"/>
          <w:szCs w:val="20"/>
          <w:color w:val="auto"/>
        </w:rPr>
      </w:pPr>
    </w:p>
    <w:p>
      <w:pPr>
        <w:ind w:left="1960" w:right="8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 means that the Purchasers have received Revenue Interest Payments under this Agreement (excluding any payments under Section 2.05) in an amount equal to or greater than $150,000,000 on or prior to December 31, 2024 (provided that, for the avoidance of doubt, the payment described in Section 1 of the Third Amendment shall not count as a Revenue Interest Payment).</w:t>
      </w:r>
    </w:p>
    <w:p>
      <w:pPr>
        <w:spacing w:after="0" w:line="19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22"/>
          <w:szCs w:val="22"/>
          <w:color w:val="auto"/>
        </w:rPr>
        <w:t>To add the below new definition in such Section in the appropriate alphabetical order:</w:t>
      </w:r>
    </w:p>
    <w:p>
      <w:pPr>
        <w:spacing w:after="0" w:line="251" w:lineRule="exact"/>
        <w:rPr>
          <w:sz w:val="20"/>
          <w:szCs w:val="20"/>
          <w:color w:val="auto"/>
        </w:rPr>
      </w:pPr>
    </w:p>
    <w:p>
      <w:pPr>
        <w:ind w:left="1960" w:right="12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means that certain Waiver and Amendment No. 3 to Revenue Interest Purchase Agreement and Amendment No. 2 to Security Agreement, dated as of November 23, 2022, by and among the Company, the Purchasers party thereto and the Purchaser Agent.</w:t>
      </w:r>
    </w:p>
    <w:p>
      <w:pPr>
        <w:sectPr>
          <w:pgSz w:w="11900" w:h="16838" w:orient="portrait"/>
          <w:cols w:equalWidth="0" w:num="1">
            <w:col w:w="11220"/>
          </w:cols>
          <w:pgMar w:left="320" w:top="1440" w:right="359" w:bottom="1440" w:gutter="0" w:footer="0" w:header="0"/>
        </w:sectPr>
      </w:pPr>
    </w:p>
    <w:bookmarkStart w:id="127" w:name="page128"/>
    <w:bookmarkEnd w:id="127"/>
    <w:p>
      <w:pPr>
        <w:ind w:left="644" w:right="5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Section 8.02 of the RIPA shall be amended to replace the Company’s notice information with the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directly below.</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Esperion Therapeutics, Inc.</w:t>
      </w:r>
    </w:p>
    <w:p>
      <w:pPr>
        <w:spacing w:after="0" w:line="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3891 Ranchero Drive, Suite 150</w:t>
      </w:r>
    </w:p>
    <w:p>
      <w:pPr>
        <w:spacing w:after="0" w:line="1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Ann Arbor, MI 48108</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Attn: Sheldon Koenig, Ben Halladay and Ben Looker</w:t>
      </w:r>
    </w:p>
    <w:p>
      <w:pPr>
        <w:spacing w:after="0" w:line="4" w:lineRule="exact"/>
        <w:rPr>
          <w:sz w:val="20"/>
          <w:szCs w:val="20"/>
          <w:color w:val="auto"/>
        </w:rPr>
      </w:pPr>
    </w:p>
    <w:p>
      <w:pPr>
        <w:ind w:left="644" w:right="4480"/>
        <w:spacing w:after="0" w:line="248" w:lineRule="auto"/>
        <w:rPr>
          <w:sz w:val="20"/>
          <w:szCs w:val="20"/>
          <w:color w:val="auto"/>
        </w:rPr>
      </w:pPr>
      <w:r>
        <w:rPr>
          <w:rFonts w:ascii="Times New Roman" w:cs="Times New Roman" w:eastAsia="Times New Roman" w:hAnsi="Times New Roman"/>
          <w:sz w:val="22"/>
          <w:szCs w:val="22"/>
          <w:color w:val="auto"/>
        </w:rPr>
        <w:t>Email: skoenig@esperion.com, bhalladay@esperion.com and blooker@esperion.com</w:t>
      </w:r>
    </w:p>
    <w:p>
      <w:pPr>
        <w:spacing w:after="0" w:line="22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2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100 Northern Avenue</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Boston, Massachusetts 02210</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Attn: Mitchell S. Bloom</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Email: mbloom@goodwinlaw.com</w:t>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Schedule 1.01(a) shall be replaced in its entirety with Schedule 1.01(a) attached hereto.</w:t>
      </w:r>
    </w:p>
    <w:p>
      <w:pPr>
        <w:spacing w:after="0" w:line="247" w:lineRule="exact"/>
        <w:rPr>
          <w:sz w:val="20"/>
          <w:szCs w:val="20"/>
          <w:color w:val="auto"/>
        </w:rPr>
      </w:pPr>
    </w:p>
    <w:p>
      <w:pPr>
        <w:ind w:left="224" w:hanging="224"/>
        <w:spacing w:after="0"/>
        <w:tabs>
          <w:tab w:leader="none" w:pos="22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Amendments to Security Agreement. </w:t>
      </w:r>
      <w:r>
        <w:rPr>
          <w:rFonts w:ascii="Times New Roman" w:cs="Times New Roman" w:eastAsia="Times New Roman" w:hAnsi="Times New Roman"/>
          <w:sz w:val="22"/>
          <w:szCs w:val="22"/>
          <w:color w:val="auto"/>
        </w:rPr>
        <w:t>Subject to Purchaser’s receipt of the Partial Call Payment:</w:t>
      </w:r>
    </w:p>
    <w:p>
      <w:pPr>
        <w:spacing w:after="0" w:line="24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Section 4.12 of the Security Agreement shall be deleted in its entirety and be of no further effect.</w:t>
      </w:r>
    </w:p>
    <w:p>
      <w:pPr>
        <w:spacing w:after="0" w:line="24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Section 8.5(b) of the Security Agreement shall be amended to remove the word “Date” appearing therein.</w:t>
      </w:r>
    </w:p>
    <w:p>
      <w:pPr>
        <w:spacing w:after="0" w:line="24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color w:val="auto"/>
        </w:rPr>
        <w:t>Annex F to the Security Agreement shall be replaced in its entirety with Annex F attached hereto.</w:t>
      </w: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color w:val="auto"/>
        </w:rPr>
        <w:t>Annex G to the Security Agreement shall be replaced in its entirety with Annex G attached hereto.</w:t>
      </w:r>
    </w:p>
    <w:p>
      <w:pPr>
        <w:spacing w:after="0" w:line="247" w:lineRule="exact"/>
        <w:rPr>
          <w:sz w:val="20"/>
          <w:szCs w:val="20"/>
          <w:color w:val="auto"/>
        </w:rPr>
      </w:pPr>
    </w:p>
    <w:p>
      <w:pPr>
        <w:ind w:left="4" w:hanging="4"/>
        <w:spacing w:after="0" w:line="250" w:lineRule="auto"/>
        <w:tabs>
          <w:tab w:leader="none" w:pos="2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Blocked Account. </w:t>
      </w:r>
      <w:r>
        <w:rPr>
          <w:rFonts w:ascii="Times New Roman" w:cs="Times New Roman" w:eastAsia="Times New Roman" w:hAnsi="Times New Roman"/>
          <w:sz w:val="22"/>
          <w:szCs w:val="22"/>
          <w:color w:val="auto"/>
        </w:rPr>
        <w:t>Subject to the effectiveness of Sections 2, 3 and 6 of this Amendment, no later than 30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Third Amendment Effective Date, and provided that the Purchaser Agent has provided all consents and instructions that may be required pursuant to the Blocked Account Control Agreement, the Company shall have either (i) closed the Blocked Account (herein, as defined in the Original Security Agreement) or (ii) delivered “springing control” control agreement with respect to the Blocked Account that satisfies the requirements of Section 4.4 of the Security Agreement. Upon the request of the Company, the Purchaser Agent agrees to work with the Company in good faith to effectuate the foregoing (and provide all approvals and</w:t>
      </w:r>
    </w:p>
    <w:p>
      <w:pPr>
        <w:sectPr>
          <w:pgSz w:w="11900" w:h="16838" w:orient="portrait"/>
          <w:cols w:equalWidth="0" w:num="1">
            <w:col w:w="10464"/>
          </w:cols>
          <w:pgMar w:left="976" w:top="1418" w:right="459" w:bottom="1440" w:gutter="0" w:footer="0" w:header="0"/>
        </w:sectPr>
      </w:pPr>
    </w:p>
    <w:bookmarkStart w:id="128" w:name="page129"/>
    <w:bookmarkEnd w:id="128"/>
    <w:p>
      <w:pPr>
        <w:ind w:left="4" w:right="180"/>
        <w:spacing w:after="0" w:line="256" w:lineRule="auto"/>
        <w:rPr>
          <w:sz w:val="20"/>
          <w:szCs w:val="20"/>
          <w:color w:val="auto"/>
        </w:rPr>
      </w:pPr>
      <w:r>
        <w:rPr>
          <w:rFonts w:ascii="Times New Roman" w:cs="Times New Roman" w:eastAsia="Times New Roman" w:hAnsi="Times New Roman"/>
          <w:sz w:val="22"/>
          <w:szCs w:val="22"/>
          <w:color w:val="auto"/>
        </w:rPr>
        <w:t>authorizations to the depository institution where such Blocked Account is maintained for such closure, to the extent the Company elects to close the account pursuant to clause (i) above). It is understood and agreed that no representations, warranties, covenants or agreements are made with respect to the Blocked Account (as defined in Section 4.12 of the Original Security Agreement) at any time on or after the date hereof.</w:t>
      </w:r>
    </w:p>
    <w:p>
      <w:pPr>
        <w:spacing w:after="0" w:line="199" w:lineRule="exact"/>
        <w:rPr>
          <w:sz w:val="20"/>
          <w:szCs w:val="20"/>
          <w:color w:val="auto"/>
        </w:rPr>
      </w:pPr>
    </w:p>
    <w:p>
      <w:pPr>
        <w:ind w:left="224" w:hanging="224"/>
        <w:spacing w:after="0"/>
        <w:tabs>
          <w:tab w:leader="none" w:pos="224"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to Effectiveness. </w:t>
      </w:r>
      <w:r>
        <w:rPr>
          <w:rFonts w:ascii="Times New Roman" w:cs="Times New Roman" w:eastAsia="Times New Roman" w:hAnsi="Times New Roman"/>
          <w:sz w:val="22"/>
          <w:szCs w:val="22"/>
          <w:color w:val="auto"/>
        </w:rPr>
        <w:t>The effectiveness of this Amendment shall be subject to the following conditions:</w:t>
      </w:r>
    </w:p>
    <w:p>
      <w:pPr>
        <w:spacing w:after="0" w:line="247" w:lineRule="exact"/>
        <w:rPr>
          <w:sz w:val="20"/>
          <w:szCs w:val="20"/>
          <w:color w:val="auto"/>
        </w:rPr>
      </w:pPr>
    </w:p>
    <w:p>
      <w:pPr>
        <w:ind w:left="644" w:right="5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The Purchaser Agent shall have received this Amendment, duly executed by the Company, the Purchaser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and all of the Purchasers as required by Section 8.08 of the RIPA; and</w:t>
      </w:r>
    </w:p>
    <w:p>
      <w:pPr>
        <w:spacing w:after="0" w:line="176" w:lineRule="exact"/>
        <w:rPr>
          <w:sz w:val="20"/>
          <w:szCs w:val="20"/>
          <w:color w:val="auto"/>
        </w:rPr>
      </w:pPr>
    </w:p>
    <w:p>
      <w:pPr>
        <w:ind w:left="644" w:right="4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color w:val="auto"/>
        </w:rPr>
        <w:t>The Borrowers agree to pay on demand all reasonable fees and expenses of the Purchaser Agent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this Amendment, including, but not limited to, reasonable legal fees and expenses in connection therewith, in accordance with Section 8.13 of the RIPA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Purchaser Agent’s legal fees in connection with this Amendment shall not exceed $75,000).</w:t>
      </w:r>
    </w:p>
    <w:p>
      <w:pPr>
        <w:spacing w:after="0" w:line="195" w:lineRule="exact"/>
        <w:rPr>
          <w:sz w:val="20"/>
          <w:szCs w:val="20"/>
          <w:color w:val="auto"/>
        </w:rPr>
      </w:pPr>
    </w:p>
    <w:p>
      <w:pPr>
        <w:ind w:left="4" w:right="100" w:hanging="4"/>
        <w:spacing w:after="0" w:line="258" w:lineRule="auto"/>
        <w:tabs>
          <w:tab w:leader="none" w:pos="2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Subject to Purchaser’s receipt of the Partial Call Payment and subject to Section 5 of this Amendment,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Section 8.08 of the RIPA, the Purchaser and the Purchaser Agent hereby waive the Specified Put Option Events and any other breaches, defaults or Put Option Events occurring prior to the date hereof that arose from, or are specifically related to, the Specified Put Option Events (collectively, the “</w:t>
      </w:r>
      <w:r>
        <w:rPr>
          <w:rFonts w:ascii="Times New Roman" w:cs="Times New Roman" w:eastAsia="Times New Roman" w:hAnsi="Times New Roman"/>
          <w:sz w:val="22"/>
          <w:szCs w:val="22"/>
          <w:u w:val="single" w:color="auto"/>
          <w:color w:val="auto"/>
        </w:rPr>
        <w:t>Specified Events</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b w:val="1"/>
          <w:bCs w:val="1"/>
          <w:color w:val="auto"/>
        </w:rPr>
      </w:pPr>
    </w:p>
    <w:p>
      <w:pPr>
        <w:ind w:left="224" w:hanging="224"/>
        <w:spacing w:after="0"/>
        <w:tabs>
          <w:tab w:leader="none" w:pos="224"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of Claims. </w:t>
      </w:r>
      <w:r>
        <w:rPr>
          <w:rFonts w:ascii="Times New Roman" w:cs="Times New Roman" w:eastAsia="Times New Roman" w:hAnsi="Times New Roman"/>
          <w:sz w:val="22"/>
          <w:szCs w:val="22"/>
          <w:color w:val="auto"/>
        </w:rPr>
        <w:t>Subject to the effectiveness of Sections 2, 3 and 6 of this Amendment:</w:t>
      </w:r>
    </w:p>
    <w:p>
      <w:pPr>
        <w:spacing w:after="0" w:line="24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b w:val="1"/>
          <w:bCs w:val="1"/>
          <w:color w:val="auto"/>
        </w:rPr>
        <w:t xml:space="preserve">7.1 </w:t>
      </w:r>
      <w:r>
        <w:rPr>
          <w:rFonts w:ascii="Times New Roman" w:cs="Times New Roman" w:eastAsia="Times New Roman" w:hAnsi="Times New Roman"/>
          <w:sz w:val="21"/>
          <w:szCs w:val="21"/>
          <w:color w:val="auto"/>
        </w:rPr>
        <w:t>The Company hereby absolutely and unconditionally releases and forever discharges the Purchaser Agent and</w:t>
      </w:r>
    </w:p>
    <w:p>
      <w:pPr>
        <w:spacing w:after="0" w:line="4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color w:val="auto"/>
        </w:rPr>
        <w:t>each Purchaser, and any and all participants, parent corporations, subsidiary corporations, affiliated corporations,</w:t>
      </w:r>
    </w:p>
    <w:p>
      <w:pPr>
        <w:spacing w:after="0" w:line="1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insurers, indemnitors, successors and assigns thereof, together with all of the present and former directors,</w:t>
      </w:r>
    </w:p>
    <w:p>
      <w:pPr>
        <w:spacing w:after="0" w:line="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officers, agents, attorneys and employees of any of the foregoing (each, a “</w:t>
      </w:r>
      <w:r>
        <w:rPr>
          <w:rFonts w:ascii="Times New Roman" w:cs="Times New Roman" w:eastAsia="Times New Roman" w:hAnsi="Times New Roman"/>
          <w:sz w:val="22"/>
          <w:szCs w:val="22"/>
          <w:b w:val="1"/>
          <w:bCs w:val="1"/>
          <w:i w:val="1"/>
          <w:iCs w:val="1"/>
          <w:color w:val="auto"/>
        </w:rPr>
        <w:t>Releasee</w:t>
      </w:r>
      <w:r>
        <w:rPr>
          <w:rFonts w:ascii="Times New Roman" w:cs="Times New Roman" w:eastAsia="Times New Roman" w:hAnsi="Times New Roman"/>
          <w:sz w:val="22"/>
          <w:szCs w:val="22"/>
          <w:color w:val="auto"/>
        </w:rPr>
        <w:t>” and collectively, the</w:t>
      </w:r>
    </w:p>
    <w:p>
      <w:pPr>
        <w:spacing w:after="0" w:line="1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claims, demands or causes of action of any kind, nature or description, whether</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color w:val="auto"/>
        </w:rPr>
        <w:t>arising in law or equity or upon contract or tort or under any state or federal law or otherwise (each, a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 and</w:t>
      </w:r>
    </w:p>
    <w:p>
      <w:pPr>
        <w:spacing w:after="0" w:line="1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the Company has had, now has or has made claim to have against any such</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color w:val="auto"/>
        </w:rPr>
        <w:t>person for or by reason of any act, omission, matter, cause or thing whatsoever arising from the beginning of time</w:t>
      </w:r>
    </w:p>
    <w:p>
      <w:pPr>
        <w:spacing w:after="0" w:line="1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to and including the moment in time immediately prior to the effectiveness of this Amendment, whether such</w:t>
      </w:r>
    </w:p>
    <w:p>
      <w:pPr>
        <w:spacing w:after="0" w:line="1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claims, demands and causes of action are matured or unmatured or known or unknown. The Company</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understands, acknowledges and agrees that the release set forth above may be pleaded as a full and complete</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defense to any Claim and may be used as a basis</w:t>
      </w:r>
    </w:p>
    <w:p>
      <w:pPr>
        <w:sectPr>
          <w:pgSz w:w="11900" w:h="16838" w:orient="portrait"/>
          <w:cols w:equalWidth="0" w:num="1">
            <w:col w:w="10564"/>
          </w:cols>
          <w:pgMar w:left="976" w:top="1422" w:right="359" w:bottom="1440" w:gutter="0" w:footer="0" w:header="0"/>
        </w:sectPr>
      </w:pPr>
    </w:p>
    <w:bookmarkStart w:id="129" w:name="page130"/>
    <w:bookmarkEnd w:id="129"/>
    <w:p>
      <w:pPr>
        <w:ind w:left="640" w:right="40"/>
        <w:spacing w:after="0" w:line="256" w:lineRule="auto"/>
        <w:rPr>
          <w:sz w:val="20"/>
          <w:szCs w:val="20"/>
          <w:color w:val="auto"/>
        </w:rPr>
      </w:pPr>
      <w:r>
        <w:rPr>
          <w:rFonts w:ascii="Times New Roman" w:cs="Times New Roman" w:eastAsia="Times New Roman" w:hAnsi="Times New Roman"/>
          <w:sz w:val="22"/>
          <w:szCs w:val="22"/>
          <w:color w:val="auto"/>
        </w:rPr>
        <w:t>for an injunction against any action, suit or other proceeding which may be instituted, prosecuted or attempted in breach of the provisions of such release. The Company agrees that no fact, event, circumstance, evidence or transaction which could now be asserted or which may hereafter be discovered will affect in any manner the final, absolute and unconditional nature of the release set forth above.</w:t>
      </w:r>
    </w:p>
    <w:p>
      <w:pPr>
        <w:spacing w:after="0" w:line="199"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color w:val="auto"/>
        </w:rPr>
        <w:t>The Company hereby absolutely, unconditionally and irrevocably covenants and agrees with and in favor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Releasee that it will not sue (at law, in equity, in any regulatory proceeding or otherwise) any Releasee on the basis of any Claim released, remised and discharged by the Company pursuant to Section 7.1 above. If the Company violates the foregoing covenant, the Company, for itself and its successors and assigns, agrees to pay, in addition to such other damages as any Releasee may sustain as a result of such violation, all attorneys’ fees, costs and expenses incurred by any Releasee as a result of such violation.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General.</w:t>
      </w:r>
    </w:p>
    <w:p>
      <w:pPr>
        <w:spacing w:after="0" w:line="247" w:lineRule="exact"/>
        <w:rPr>
          <w:sz w:val="20"/>
          <w:szCs w:val="20"/>
          <w:color w:val="auto"/>
        </w:rPr>
      </w:pPr>
    </w:p>
    <w:p>
      <w:pPr>
        <w:ind w:left="640" w:right="8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The Company, hereby (i) acknowledges and agrees that all of its obligations under the RIPA and each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Document and under any other document or instrument executed and delivered or furnished in connection with such Transaction Documents are reaffirmed and remain in full force and effect on a continuous basis, including, for the avoidance of doubt, after giving effect to this Amendment, (ii) acknowledges, agrees and reaffirms that each Lien granted by it to Purchaser Agent under the Transaction Documents for the ratable benefit of the Purchasers (except as contemplated by this Amendment with respect to the Blocked Account (as defined in Section 4.12 of the Original Security Agreement)) is and shall remain in full force and effect after giving effect to this Amendment and (iii) agrees that the Obligations secured by the Security Agreement and each other Transaction Document to which it is a party shall include all Obligations arising after giving effect to this Amendment.</w:t>
      </w:r>
    </w:p>
    <w:p>
      <w:pPr>
        <w:spacing w:after="0" w:line="210" w:lineRule="exact"/>
        <w:rPr>
          <w:sz w:val="20"/>
          <w:szCs w:val="20"/>
          <w:color w:val="auto"/>
        </w:rPr>
      </w:pPr>
    </w:p>
    <w:p>
      <w:pPr>
        <w:ind w:left="640" w:right="40"/>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(i) The execution, delivery and effectiveness of this Amendment shall not operate as a waiver of any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or remedy of the Purchasers or the Purchaser Agent under the RIPA or any other documents executed in connection with the RIPA or constitute a waiver of any provision of the RIPA or any other document executed in connection therewith, in each case, except as expressly provided herein, and (ii) this Amendment shall not by implication, course of dealing or otherwise limit, modify, amend or in any way affect any of the terms, conditions, obligations, covenants or agreements in the Transaction Documents, in each case, except to the extent limited, modified, amended, waived or affected by this Amendment.</w:t>
      </w:r>
    </w:p>
    <w:p>
      <w:pPr>
        <w:spacing w:after="0" w:line="207" w:lineRule="exact"/>
        <w:rPr>
          <w:sz w:val="20"/>
          <w:szCs w:val="20"/>
          <w:color w:val="auto"/>
        </w:rPr>
      </w:pPr>
    </w:p>
    <w:p>
      <w:pPr>
        <w:ind w:left="640" w:right="40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Except as expressly modified or waived by this Amendment, the terms and provisions of the RIPA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unchanged and in full force and effect in accordance with its terms. In the event of any inconsistencies between the</w:t>
      </w:r>
    </w:p>
    <w:p>
      <w:pPr>
        <w:sectPr>
          <w:pgSz w:w="11900" w:h="16838" w:orient="portrait"/>
          <w:cols w:equalWidth="0" w:num="1">
            <w:col w:w="10540"/>
          </w:cols>
          <w:pgMar w:left="980" w:top="1422" w:right="379" w:bottom="1440" w:gutter="0" w:footer="0" w:header="0"/>
        </w:sectPr>
      </w:pPr>
    </w:p>
    <w:bookmarkStart w:id="130" w:name="page131"/>
    <w:bookmarkEnd w:id="130"/>
    <w:p>
      <w:pPr>
        <w:ind w:left="180" w:right="380"/>
        <w:spacing w:after="0" w:line="257" w:lineRule="auto"/>
        <w:rPr>
          <w:sz w:val="20"/>
          <w:szCs w:val="20"/>
          <w:color w:val="auto"/>
        </w:rPr>
      </w:pPr>
      <w:r>
        <w:rPr>
          <w:rFonts w:ascii="Times New Roman" w:cs="Times New Roman" w:eastAsia="Times New Roman" w:hAnsi="Times New Roman"/>
          <w:sz w:val="22"/>
          <w:szCs w:val="22"/>
          <w:color w:val="auto"/>
        </w:rPr>
        <w:t>provisions of this Amendment and the provisions of RIPA, the Security Agreement or any other Transaction Document, the provisions of this Amendment shall govern and prevail. For the avoidance of doubt, this Amendment is a Transaction Document.</w:t>
      </w:r>
    </w:p>
    <w:p>
      <w:pPr>
        <w:spacing w:after="0" w:line="209" w:lineRule="exact"/>
        <w:rPr>
          <w:sz w:val="20"/>
          <w:szCs w:val="20"/>
          <w:color w:val="auto"/>
        </w:rPr>
      </w:pPr>
    </w:p>
    <w:p>
      <w:pPr>
        <w:ind w:left="180"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This Amendment shall be governed by, and construed, interpreted and enforced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New York, without giving effect to the principles of conflicts of law thereof.</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8.5 </w:t>
      </w:r>
      <w:r>
        <w:rPr>
          <w:rFonts w:ascii="Times New Roman" w:cs="Times New Roman" w:eastAsia="Times New Roman" w:hAnsi="Times New Roman"/>
          <w:sz w:val="21"/>
          <w:szCs w:val="21"/>
          <w:color w:val="auto"/>
        </w:rPr>
        <w:t>The provisions of Sections 8.02 (Notice) (except as amended by this Amendment), 8.07 (Entire Agreement),</w:t>
      </w:r>
    </w:p>
    <w:p>
      <w:pPr>
        <w:spacing w:after="0" w:line="43" w:lineRule="exact"/>
        <w:rPr>
          <w:sz w:val="20"/>
          <w:szCs w:val="20"/>
          <w:color w:val="auto"/>
        </w:rPr>
      </w:pPr>
    </w:p>
    <w:p>
      <w:pPr>
        <w:ind w:left="180" w:right="280"/>
        <w:spacing w:after="0" w:line="248" w:lineRule="auto"/>
        <w:rPr>
          <w:sz w:val="20"/>
          <w:szCs w:val="20"/>
          <w:color w:val="auto"/>
        </w:rPr>
      </w:pPr>
      <w:r>
        <w:rPr>
          <w:rFonts w:ascii="Times New Roman" w:cs="Times New Roman" w:eastAsia="Times New Roman" w:hAnsi="Times New Roman"/>
          <w:sz w:val="22"/>
          <w:szCs w:val="22"/>
          <w:color w:val="auto"/>
        </w:rPr>
        <w:t xml:space="preserve">8.08 (Amendments, No Waivers), 8.11 (Counterparts; Effectiveness), and 8.14(b) and (c) (Jurisdiction) of the RIPA are hereby incorporated by reference into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9900"/>
          </w:cols>
          <w:pgMar w:left="1440" w:top="1422" w:right="559" w:bottom="1440" w:gutter="0" w:footer="0" w:header="0"/>
        </w:sectPr>
      </w:pPr>
    </w:p>
    <w:bookmarkStart w:id="131" w:name="page132"/>
    <w:bookmarkEnd w:id="131"/>
    <w:p>
      <w:pPr>
        <w:spacing w:after="0" w:line="221"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duly executed by their respective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officers as of the Third Amendment Effective Date.</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22"/>
                <w:szCs w:val="22"/>
                <w:color w:val="auto"/>
              </w:rPr>
              <w:t>ESPERION THERAPEUTICS, INC.</w:t>
            </w:r>
          </w:p>
        </w:tc>
      </w:tr>
      <w:tr>
        <w:trPr>
          <w:trHeight w:val="540"/>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Sheldon Koenig</w:t>
            </w:r>
          </w:p>
        </w:tc>
      </w:tr>
      <w:tr>
        <w:trPr>
          <w:trHeight w:val="251"/>
        </w:trPr>
        <w:tc>
          <w:tcPr>
            <w:tcW w:w="3400" w:type="dxa"/>
            <w:vAlign w:val="bottom"/>
          </w:tcPr>
          <w:p>
            <w:pPr>
              <w:spacing w:after="0"/>
              <w:rPr>
                <w:sz w:val="21"/>
                <w:szCs w:val="21"/>
                <w:color w:val="auto"/>
              </w:rPr>
            </w:pPr>
          </w:p>
        </w:tc>
        <w:tc>
          <w:tcPr>
            <w:tcW w:w="2780" w:type="dxa"/>
            <w:vAlign w:val="bottom"/>
          </w:tcPr>
          <w:p>
            <w:pPr>
              <w:ind w:left="176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Sheldon Koenig</w:t>
            </w:r>
          </w:p>
        </w:tc>
      </w:tr>
      <w:tr>
        <w:trPr>
          <w:trHeight w:val="282"/>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CEO</w:t>
            </w:r>
          </w:p>
        </w:tc>
      </w:tr>
      <w:tr>
        <w:trPr>
          <w:trHeight w:val="528"/>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Purchaser:</w:t>
            </w: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22"/>
                <w:szCs w:val="22"/>
                <w:color w:val="auto"/>
              </w:rPr>
              <w:t>INTERLAKEN ICAV for and on behalf of</w:t>
            </w:r>
          </w:p>
        </w:tc>
      </w:tr>
      <w:tr>
        <w:trPr>
          <w:trHeight w:val="282"/>
        </w:trPr>
        <w:tc>
          <w:tcPr>
            <w:tcW w:w="3400" w:type="dxa"/>
            <w:vAlign w:val="bottom"/>
          </w:tcPr>
          <w:p>
            <w:pPr>
              <w:spacing w:after="0"/>
              <w:rPr>
                <w:sz w:val="24"/>
                <w:szCs w:val="24"/>
                <w:color w:val="auto"/>
              </w:rPr>
            </w:pP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22"/>
                <w:szCs w:val="22"/>
                <w:color w:val="auto"/>
              </w:rPr>
              <w:t>EIGER PARTNERS II FUND</w:t>
            </w:r>
          </w:p>
        </w:tc>
      </w:tr>
      <w:tr>
        <w:trPr>
          <w:trHeight w:val="540"/>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David Dubinsky</w:t>
            </w:r>
          </w:p>
        </w:tc>
      </w:tr>
      <w:tr>
        <w:trPr>
          <w:trHeight w:val="251"/>
        </w:trPr>
        <w:tc>
          <w:tcPr>
            <w:tcW w:w="3400" w:type="dxa"/>
            <w:vAlign w:val="bottom"/>
          </w:tcPr>
          <w:p>
            <w:pPr>
              <w:spacing w:after="0"/>
              <w:rPr>
                <w:sz w:val="21"/>
                <w:szCs w:val="21"/>
                <w:color w:val="auto"/>
              </w:rPr>
            </w:pPr>
          </w:p>
        </w:tc>
        <w:tc>
          <w:tcPr>
            <w:tcW w:w="2780" w:type="dxa"/>
            <w:vAlign w:val="bottom"/>
          </w:tcPr>
          <w:p>
            <w:pPr>
              <w:ind w:left="176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David Dubinsky</w:t>
            </w:r>
          </w:p>
        </w:tc>
      </w:tr>
      <w:tr>
        <w:trPr>
          <w:trHeight w:val="282"/>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540"/>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Purchaser Agent:</w:t>
            </w: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22"/>
                <w:szCs w:val="22"/>
                <w:color w:val="auto"/>
              </w:rPr>
              <w:t>EIGER III SA LLC</w:t>
            </w:r>
          </w:p>
        </w:tc>
      </w:tr>
      <w:tr>
        <w:trPr>
          <w:trHeight w:val="540"/>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David Dubinsky</w:t>
            </w:r>
          </w:p>
        </w:tc>
      </w:tr>
      <w:tr>
        <w:trPr>
          <w:trHeight w:val="251"/>
        </w:trPr>
        <w:tc>
          <w:tcPr>
            <w:tcW w:w="3400" w:type="dxa"/>
            <w:vAlign w:val="bottom"/>
          </w:tcPr>
          <w:p>
            <w:pPr>
              <w:spacing w:after="0"/>
              <w:rPr>
                <w:sz w:val="21"/>
                <w:szCs w:val="21"/>
                <w:color w:val="auto"/>
              </w:rPr>
            </w:pPr>
          </w:p>
        </w:tc>
        <w:tc>
          <w:tcPr>
            <w:tcW w:w="2780" w:type="dxa"/>
            <w:vAlign w:val="bottom"/>
          </w:tcPr>
          <w:p>
            <w:pPr>
              <w:ind w:left="176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David Dubinsky</w:t>
            </w:r>
          </w:p>
        </w:tc>
      </w:tr>
      <w:tr>
        <w:trPr>
          <w:trHeight w:val="282"/>
        </w:trPr>
        <w:tc>
          <w:tcPr>
            <w:tcW w:w="3400" w:type="dxa"/>
            <w:vAlign w:val="bottom"/>
          </w:tcPr>
          <w:p>
            <w:pPr>
              <w:spacing w:after="0"/>
              <w:rPr>
                <w:sz w:val="24"/>
                <w:szCs w:val="24"/>
                <w:color w:val="auto"/>
              </w:rPr>
            </w:pPr>
          </w:p>
        </w:tc>
        <w:tc>
          <w:tcPr>
            <w:tcW w:w="278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22" w:lineRule="exact"/>
        <w:rPr>
          <w:sz w:val="20"/>
          <w:szCs w:val="20"/>
          <w:color w:val="auto"/>
        </w:rPr>
      </w:pPr>
    </w:p>
    <w:p>
      <w:pPr>
        <w:ind w:left="880" w:hanging="224"/>
        <w:spacing w:after="0" w:line="184" w:lineRule="exact"/>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3 No. 333-264303)</w:t>
      </w:r>
    </w:p>
    <w:p>
      <w:pPr>
        <w:spacing w:after="0" w:line="221" w:lineRule="exact"/>
        <w:rPr>
          <w:rFonts w:ascii="Arial" w:cs="Arial" w:eastAsia="Arial" w:hAnsi="Arial"/>
          <w:sz w:val="16"/>
          <w:szCs w:val="16"/>
          <w:color w:val="auto"/>
        </w:rPr>
      </w:pPr>
    </w:p>
    <w:p>
      <w:pPr>
        <w:ind w:left="880" w:hanging="224"/>
        <w:spacing w:after="0" w:line="184" w:lineRule="exact"/>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333-265247) pertaining to the 2022 Stock Option and Incentive Plan of Esperion Therapeutics, Inc.</w:t>
      </w:r>
    </w:p>
    <w:p>
      <w:pPr>
        <w:spacing w:after="0" w:line="194" w:lineRule="exact"/>
        <w:rPr>
          <w:rFonts w:ascii="Arial" w:cs="Arial" w:eastAsia="Arial" w:hAnsi="Arial"/>
          <w:sz w:val="16"/>
          <w:szCs w:val="16"/>
          <w:color w:val="auto"/>
        </w:rPr>
      </w:pPr>
    </w:p>
    <w:p>
      <w:pPr>
        <w:ind w:left="900" w:right="100" w:hanging="244"/>
        <w:spacing w:after="0" w:line="194"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333-262881) pertaining to the Amended and Restated 2013 Stock Option and Incentive Plan of Esperion Therapeutics, Inc.</w:t>
      </w:r>
    </w:p>
    <w:p>
      <w:pPr>
        <w:spacing w:after="0" w:line="152"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333-253414) pertaining to the Amended and Restated 2013 Stock Option and Incentive Plan of Esperion Therapeutics, Inc.</w:t>
      </w:r>
    </w:p>
    <w:p>
      <w:pPr>
        <w:spacing w:after="0" w:line="191" w:lineRule="exact"/>
        <w:rPr>
          <w:rFonts w:ascii="Arial" w:cs="Arial" w:eastAsia="Arial" w:hAnsi="Arial"/>
          <w:sz w:val="16"/>
          <w:szCs w:val="16"/>
          <w:color w:val="auto"/>
        </w:rPr>
      </w:pPr>
    </w:p>
    <w:p>
      <w:pPr>
        <w:ind w:left="900" w:right="900" w:hanging="244"/>
        <w:spacing w:after="0" w:line="208"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333-243757) pertaining to the 2020 Employee Stock Purchase Plan, as amended of Esperion Therapeutics, Inc.</w:t>
      </w:r>
    </w:p>
    <w:p>
      <w:pPr>
        <w:spacing w:after="0" w:line="191"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333-236712) pertaining to the Amended and Restated 2013 Stock Option and Incentive Plan of Esperion Therapeutics, Inc. and the 2017 Inducement Equity Plan of Esperion Therapeutics, Inc.</w:t>
      </w:r>
    </w:p>
    <w:p>
      <w:pPr>
        <w:spacing w:after="0" w:line="191"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228994) pertaining to the Amended and Restated 2013 Stock Option and Incentive Plan of Esperion Therapeutics, Inc.</w:t>
      </w:r>
    </w:p>
    <w:p>
      <w:pPr>
        <w:spacing w:after="0" w:line="178"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223105) pertaining to the Amended and Restated 2013 Stock Option and Incentive Plan of Esperion Therapeutics, Inc.</w:t>
      </w:r>
    </w:p>
    <w:p>
      <w:pPr>
        <w:spacing w:after="0" w:line="191" w:lineRule="exact"/>
        <w:rPr>
          <w:rFonts w:ascii="Arial" w:cs="Arial" w:eastAsia="Arial" w:hAnsi="Arial"/>
          <w:sz w:val="16"/>
          <w:szCs w:val="16"/>
          <w:color w:val="auto"/>
        </w:rPr>
      </w:pPr>
    </w:p>
    <w:p>
      <w:pPr>
        <w:ind w:left="880" w:hanging="224"/>
        <w:spacing w:after="0" w:line="184" w:lineRule="exact"/>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218084) pertaining to the 2017 Inducement Equity Plan of Esperion Therapeutics, Inc.</w:t>
      </w:r>
    </w:p>
    <w:p>
      <w:pPr>
        <w:spacing w:after="0" w:line="248"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216169) pertaining to the Amended and Restated 2013 Stock Option and Incentive Plan of Esperion Therapeutics, Inc.</w:t>
      </w:r>
    </w:p>
    <w:p>
      <w:pPr>
        <w:spacing w:after="0" w:line="178"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208702) pertaining to the Amended and Restated 2013 Stock Option and Incentive Plan of Esperion Therapeutics, Inc.</w:t>
      </w:r>
    </w:p>
    <w:p>
      <w:pPr>
        <w:spacing w:after="0" w:line="191" w:lineRule="exact"/>
        <w:rPr>
          <w:rFonts w:ascii="Arial" w:cs="Arial" w:eastAsia="Arial" w:hAnsi="Arial"/>
          <w:sz w:val="16"/>
          <w:szCs w:val="16"/>
          <w:color w:val="auto"/>
        </w:rPr>
      </w:pPr>
    </w:p>
    <w:p>
      <w:pPr>
        <w:ind w:left="900" w:right="10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206180) pertaining to the Amended and Restated 2013 Stock Option and Incentive Plan of Esperion Therapeutics, Inc.</w:t>
      </w:r>
    </w:p>
    <w:p>
      <w:pPr>
        <w:spacing w:after="0" w:line="191" w:lineRule="exact"/>
        <w:rPr>
          <w:rFonts w:ascii="Arial" w:cs="Arial" w:eastAsia="Arial" w:hAnsi="Arial"/>
          <w:sz w:val="16"/>
          <w:szCs w:val="16"/>
          <w:color w:val="auto"/>
        </w:rPr>
      </w:pPr>
    </w:p>
    <w:p>
      <w:pPr>
        <w:ind w:left="880" w:hanging="224"/>
        <w:spacing w:after="0" w:line="184" w:lineRule="exact"/>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201378) pertaining to the 2013 Stock Option and Incentive Plan of Esperion Therapeutics, Inc.</w:t>
      </w:r>
    </w:p>
    <w:p>
      <w:pPr>
        <w:spacing w:after="0" w:line="234" w:lineRule="exact"/>
        <w:rPr>
          <w:rFonts w:ascii="Arial" w:cs="Arial" w:eastAsia="Arial" w:hAnsi="Arial"/>
          <w:sz w:val="16"/>
          <w:szCs w:val="16"/>
          <w:color w:val="auto"/>
        </w:rPr>
      </w:pPr>
    </w:p>
    <w:p>
      <w:pPr>
        <w:ind w:left="880" w:hanging="224"/>
        <w:spacing w:after="0" w:line="184" w:lineRule="exact"/>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194536) pertaining to the 2013 Stock Option and Incentive Plan of Esperion Therapeutics, Inc.</w:t>
      </w:r>
    </w:p>
    <w:p>
      <w:pPr>
        <w:spacing w:after="0" w:line="248" w:lineRule="exact"/>
        <w:rPr>
          <w:rFonts w:ascii="Arial" w:cs="Arial" w:eastAsia="Arial" w:hAnsi="Arial"/>
          <w:sz w:val="16"/>
          <w:szCs w:val="16"/>
          <w:color w:val="auto"/>
        </w:rPr>
      </w:pPr>
    </w:p>
    <w:p>
      <w:pPr>
        <w:ind w:left="900" w:right="40" w:hanging="244"/>
        <w:spacing w:after="0" w:line="215" w:lineRule="exact"/>
        <w:tabs>
          <w:tab w:leader="none" w:pos="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189738) pertaining to the 2008 Incentive Stock Option and Restricted Stock Plan and the 2013 Stock Option and Incentive Plan of Esperion Therapeutics, Inc.</w:t>
      </w:r>
    </w:p>
    <w:p>
      <w:pPr>
        <w:spacing w:after="0" w:line="192" w:lineRule="exact"/>
        <w:rPr>
          <w:sz w:val="20"/>
          <w:szCs w:val="20"/>
          <w:color w:val="auto"/>
        </w:rPr>
      </w:pPr>
    </w:p>
    <w:p>
      <w:pPr>
        <w:ind w:right="100"/>
        <w:spacing w:after="0" w:line="215" w:lineRule="exact"/>
        <w:rPr>
          <w:sz w:val="20"/>
          <w:szCs w:val="20"/>
          <w:color w:val="auto"/>
        </w:rPr>
      </w:pPr>
      <w:r>
        <w:rPr>
          <w:rFonts w:ascii="Arial" w:cs="Arial" w:eastAsia="Arial" w:hAnsi="Arial"/>
          <w:sz w:val="16"/>
          <w:szCs w:val="16"/>
          <w:color w:val="auto"/>
        </w:rPr>
        <w:t>of our report dated February 21, 2023, with respect to the financial statements of Esperion Therapeutics, Inc. included in this Annual Report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Detroit, Michigan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2023</w:t>
      </w:r>
    </w:p>
    <w:p>
      <w:pPr>
        <w:sectPr>
          <w:pgSz w:w="11900" w:h="16838" w:orient="portrait"/>
          <w:cols w:equalWidth="0" w:num="1">
            <w:col w:w="11240"/>
          </w:cols>
          <w:pgMar w:left="320" w:top="59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196" w:lineRule="exact"/>
        <w:rPr>
          <w:sz w:val="20"/>
          <w:szCs w:val="20"/>
          <w:color w:val="auto"/>
        </w:rPr>
      </w:pPr>
    </w:p>
    <w:p>
      <w:pPr>
        <w:ind w:left="660" w:hanging="328"/>
        <w:spacing w:after="0" w:line="207" w:lineRule="exact"/>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Esperion Therapeutics, Inc.;</w:t>
      </w:r>
    </w:p>
    <w:p>
      <w:pPr>
        <w:spacing w:after="0" w:line="253" w:lineRule="exact"/>
        <w:rPr>
          <w:rFonts w:ascii="Times New Roman" w:cs="Times New Roman" w:eastAsia="Times New Roman" w:hAnsi="Times New Roman"/>
          <w:sz w:val="18"/>
          <w:szCs w:val="18"/>
          <w:color w:val="auto"/>
        </w:rPr>
      </w:pPr>
    </w:p>
    <w:p>
      <w:pPr>
        <w:ind w:left="340" w:right="120" w:hanging="8"/>
        <w:spacing w:after="0" w:line="266" w:lineRule="auto"/>
        <w:tabs>
          <w:tab w:leader="none" w:pos="6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8"/>
        <w:spacing w:after="0" w:line="282" w:lineRule="auto"/>
        <w:tabs>
          <w:tab w:leader="none" w:pos="6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20" w:hanging="8"/>
        <w:spacing w:after="0" w:line="226" w:lineRule="exact"/>
        <w:tabs>
          <w:tab w:leader="none" w:pos="6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05" w:lineRule="exact"/>
        <w:rPr>
          <w:rFonts w:ascii="Times New Roman" w:cs="Times New Roman" w:eastAsia="Times New Roman" w:hAnsi="Times New Roman"/>
          <w:sz w:val="18"/>
          <w:szCs w:val="18"/>
          <w:color w:val="auto"/>
        </w:rPr>
      </w:pPr>
    </w:p>
    <w:p>
      <w:pPr>
        <w:ind w:left="340" w:right="100" w:firstLine="640"/>
        <w:spacing w:after="0" w:line="266" w:lineRule="auto"/>
        <w:tabs>
          <w:tab w:leader="none" w:pos="13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140" w:firstLine="64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240" w:firstLine="640"/>
        <w:spacing w:after="0" w:line="282" w:lineRule="auto"/>
        <w:tabs>
          <w:tab w:leader="none" w:pos="13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220" w:firstLine="64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80" w:hanging="8"/>
        <w:spacing w:after="0" w:line="282" w:lineRule="auto"/>
        <w:tabs>
          <w:tab w:leader="none" w:pos="6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60" w:firstLine="640"/>
        <w:spacing w:after="0" w:line="282" w:lineRule="auto"/>
        <w:tabs>
          <w:tab w:leader="none" w:pos="13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160" w:firstLine="640"/>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Sheldon L. Koenig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Halladay, certify that:</w:t>
      </w:r>
    </w:p>
    <w:p>
      <w:pPr>
        <w:spacing w:after="0" w:line="196" w:lineRule="exact"/>
        <w:rPr>
          <w:sz w:val="20"/>
          <w:szCs w:val="20"/>
          <w:color w:val="auto"/>
        </w:rPr>
      </w:pPr>
    </w:p>
    <w:p>
      <w:pPr>
        <w:ind w:left="660" w:hanging="328"/>
        <w:spacing w:after="0" w:line="207" w:lineRule="exact"/>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Esperion Therapeutics, Inc.;</w:t>
      </w:r>
    </w:p>
    <w:p>
      <w:pPr>
        <w:spacing w:after="0" w:line="253" w:lineRule="exact"/>
        <w:rPr>
          <w:rFonts w:ascii="Times New Roman" w:cs="Times New Roman" w:eastAsia="Times New Roman" w:hAnsi="Times New Roman"/>
          <w:sz w:val="18"/>
          <w:szCs w:val="18"/>
          <w:color w:val="auto"/>
        </w:rPr>
      </w:pPr>
    </w:p>
    <w:p>
      <w:pPr>
        <w:ind w:left="340" w:right="120" w:hanging="8"/>
        <w:spacing w:after="0" w:line="266" w:lineRule="auto"/>
        <w:tabs>
          <w:tab w:leader="none" w:pos="6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8"/>
        <w:spacing w:after="0" w:line="282" w:lineRule="auto"/>
        <w:tabs>
          <w:tab w:leader="none" w:pos="6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20" w:hanging="8"/>
        <w:spacing w:after="0" w:line="226" w:lineRule="exact"/>
        <w:tabs>
          <w:tab w:leader="none" w:pos="6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05" w:lineRule="exact"/>
        <w:rPr>
          <w:rFonts w:ascii="Times New Roman" w:cs="Times New Roman" w:eastAsia="Times New Roman" w:hAnsi="Times New Roman"/>
          <w:sz w:val="18"/>
          <w:szCs w:val="18"/>
          <w:color w:val="auto"/>
        </w:rPr>
      </w:pPr>
    </w:p>
    <w:p>
      <w:pPr>
        <w:ind w:left="340" w:right="100" w:firstLine="640"/>
        <w:spacing w:after="0" w:line="266" w:lineRule="auto"/>
        <w:tabs>
          <w:tab w:leader="none" w:pos="13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140" w:firstLine="64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240" w:firstLine="640"/>
        <w:spacing w:after="0" w:line="282" w:lineRule="auto"/>
        <w:tabs>
          <w:tab w:leader="none" w:pos="13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220" w:firstLine="64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80" w:hanging="8"/>
        <w:spacing w:after="0" w:line="282" w:lineRule="auto"/>
        <w:tabs>
          <w:tab w:leader="none" w:pos="6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60" w:firstLine="640"/>
        <w:spacing w:after="0" w:line="282" w:lineRule="auto"/>
        <w:tabs>
          <w:tab w:leader="none" w:pos="13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160" w:firstLine="640"/>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6347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Benjamin Halladay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88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00"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(subsections (a) and (b) of section 1350, chapter 63 of title 18, United States Code), each of the undersigned officers of Esperion Therapeutics, Inc., a Delaware corporation (the “Company”), does hereby certify, to such officer’s knowledge, that:</w:t>
      </w:r>
    </w:p>
    <w:p>
      <w:pPr>
        <w:spacing w:after="0" w:line="17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Annual Report for the year ended December 31, 2022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fully complies with the requirements of</w:t>
      </w:r>
    </w:p>
    <w:p>
      <w:pPr>
        <w:spacing w:after="0" w:line="5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Section 13(a) or 15(d) of the Securities Exchange Act of 1934, and the information contained in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fairly presents, in all material respects,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of the Company.</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21,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9"/>
        </w:trPr>
        <w:tc>
          <w:tcPr>
            <w:tcW w:w="5580" w:type="dxa"/>
            <w:vAlign w:val="bottom"/>
          </w:tcPr>
          <w:p>
            <w:pPr>
              <w:spacing w:after="0"/>
              <w:rPr>
                <w:sz w:val="24"/>
                <w:szCs w:val="24"/>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lvl w:ilvl="1">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lvl w:ilvl="1">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decimal"/>
      <w:start w:val="3"/>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3"/>
    </w:lvl>
  </w:abstractNum>
  <w:abstractNum w:abstractNumId="54">
    <w:nsid w:val="354FE9F9"/>
    <w:multiLevelType w:val="hybridMultilevel"/>
    <w:lvl w:ilvl="0">
      <w:lvlJc w:val="left"/>
      <w:lvlText w:val="%1."/>
      <w:numFmt w:val="decimal"/>
      <w:start w:val="5"/>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3"/>
    </w:lvl>
  </w:abstractNum>
  <w:abstractNum w:abstractNumId="57">
    <w:nsid w:val="D34B6A8"/>
    <w:multiLevelType w:val="hybridMultilevel"/>
    <w:lvl w:ilvl="0">
      <w:lvlJc w:val="left"/>
      <w:lvlText w:val="%1."/>
      <w:numFmt w:val="decimal"/>
      <w:start w:val="4"/>
    </w:lvl>
  </w:abstractNum>
  <w:abstractNum w:abstractNumId="58">
    <w:nsid w:val="10233C99"/>
    <w:multiLevelType w:val="hybridMultilevel"/>
    <w:lvl w:ilvl="0">
      <w:lvlJc w:val="left"/>
      <w:lvlText w:val="%1."/>
      <w:numFmt w:val="decimal"/>
      <w:start w:val="5"/>
    </w:lvl>
  </w:abstractNum>
  <w:abstractNum w:abstractNumId="59">
    <w:nsid w:val="3F6AB60F"/>
    <w:multiLevelType w:val="hybridMultilevel"/>
    <w:lvl w:ilvl="0">
      <w:lvlJc w:val="left"/>
      <w:lvlText w:val="%1."/>
      <w:numFmt w:val="decimal"/>
      <w:start w:val="6"/>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4" Type="http://schemas.openxmlformats.org/officeDocument/2006/relationships/image" Target="media/image95.png"/><Relationship Id="rId153"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102" Type="http://schemas.openxmlformats.org/officeDocument/2006/relationships/hyperlink" Target="http://www.sec.gov/Archives/edgar/data/1434868/000104746913006896/a2215641zex-3_2.htm" TargetMode="External"/><Relationship Id="rId103" Type="http://schemas.openxmlformats.org/officeDocument/2006/relationships/hyperlink" Target="https://www.sec.gov/Archives/edgar/data/1434868/000162828022015488/exhibit31.htm" TargetMode="External"/><Relationship Id="rId104" Type="http://schemas.openxmlformats.org/officeDocument/2006/relationships/hyperlink" Target="https://www.sec.gov/Archives/edgar/data/1434868/000162828022025245/exhibit31certificateofvali.htm" TargetMode="External"/><Relationship Id="rId105" Type="http://schemas.openxmlformats.org/officeDocument/2006/relationships/hyperlink" Target="https://www.sec.gov/Archives/edgar/data/1434868/000162828021008918/ex31-secondamendedandresta.htm" TargetMode="External"/><Relationship Id="rId106" Type="http://schemas.openxmlformats.org/officeDocument/2006/relationships/hyperlink" Target="http://www.sec.gov/Archives/edgar/data/1434868/000162828021008918/ex31-secondamendedandresta.htm" TargetMode="External"/><Relationship Id="rId107" Type="http://schemas.openxmlformats.org/officeDocument/2006/relationships/hyperlink" Target="http://www.sec.gov/Archives/edgar/data/1434868/000104746913006896/a2215641zex-4_1.htm" TargetMode="External"/><Relationship Id="rId108" Type="http://schemas.openxmlformats.org/officeDocument/2006/relationships/hyperlink" Target="http://www.sec.gov/Archives/edgar/data/1434868/000104746913006083/a2214660zex-4_4.htm" TargetMode="External"/><Relationship Id="rId109" Type="http://schemas.openxmlformats.org/officeDocument/2006/relationships/hyperlink" Target="http://www.sec.gov/Archives/edgar/data/1434868/000104746913006083/a2214660zex-4_5.htm" TargetMode="External"/><Relationship Id="rId110" Type="http://schemas.openxmlformats.org/officeDocument/2006/relationships/hyperlink" Target="http://www.sec.gov/Archives/edgar/data/1434868/000110465920026203/ex-4d4.htm" TargetMode="External"/><Relationship Id="rId111" Type="http://schemas.openxmlformats.org/officeDocument/2006/relationships/hyperlink" Target="http://www.sec.gov/Archives/edgar/data/1434868/000110465920125920/tm2036069d1_ex4-1.htm" TargetMode="External"/><Relationship Id="rId112" Type="http://schemas.openxmlformats.org/officeDocument/2006/relationships/hyperlink" Target="https://www.sec.gov/Archives/edgar/data/1434868/000104746913006083/a2214660zex-4_6.htm" TargetMode="External"/><Relationship Id="rId113" Type="http://schemas.openxmlformats.org/officeDocument/2006/relationships/hyperlink" Target="https://www.sec.gov/Archives/edgar/data/1434868/000104746913006083/a2214660zex-4_3.htm" TargetMode="External"/><Relationship Id="rId114" Type="http://schemas.openxmlformats.org/officeDocument/2006/relationships/hyperlink" Target="http://www.sec.gov/Archives/edgar/data/1434868/000104746913006083/a2214660zex-10_7.htm" TargetMode="External"/><Relationship Id="rId115" Type="http://schemas.openxmlformats.org/officeDocument/2006/relationships/hyperlink" Target="https://www.sec.gov/Archives/edgar/data/1434868/000110465914007554/a14-5116_1ex10d1.htm" TargetMode="External"/><Relationship Id="rId116" Type="http://schemas.openxmlformats.org/officeDocument/2006/relationships/hyperlink" Target="http://www.sec.gov/Archives/edgar/data/1434868/000110465914007554/a14-5116_1ex10d1.htm" TargetMode="External"/><Relationship Id="rId117" Type="http://schemas.openxmlformats.org/officeDocument/2006/relationships/hyperlink" Target="https://www.sec.gov/Archives/edgar/data/1434868/000104746913006083/a2214660zex-10_8.htm" TargetMode="External"/><Relationship Id="rId118" Type="http://schemas.openxmlformats.org/officeDocument/2006/relationships/hyperlink" Target="http://www.sec.gov/Archives/edgar/data/1434868/000104746913006083/a2214660zex-10_8.htm" TargetMode="External"/><Relationship Id="rId119" Type="http://schemas.openxmlformats.org/officeDocument/2006/relationships/hyperlink" Target="http://www.sec.gov/Archives/edgar/data/1434868/000104746913006083/a2214660zex-10_9.htm" TargetMode="External"/><Relationship Id="rId120" Type="http://schemas.openxmlformats.org/officeDocument/2006/relationships/hyperlink" Target="http://www.sec.gov/Archives/edgar/data/1434868/000110465916154591/a16-17205_1ex10d1.htm" TargetMode="External"/><Relationship Id="rId121" Type="http://schemas.openxmlformats.org/officeDocument/2006/relationships/hyperlink" Target="http://www.sec.gov/Archives/edgar/data/1434868/000104746919000791/a2237755zex-10_12.htm" TargetMode="External"/><Relationship Id="rId122" Type="http://schemas.openxmlformats.org/officeDocument/2006/relationships/hyperlink" Target="https://www.sec.gov/Archives/edgar/data/1434868/000110465917033789/a17-13191_1ex99d1.htm" TargetMode="External"/><Relationship Id="rId123" Type="http://schemas.openxmlformats.org/officeDocument/2006/relationships/hyperlink" Target="http://www.sec.gov/Archives/edgar/data/1434868/000110465917033789/a17-13191_1ex99d1.htm" TargetMode="External"/><Relationship Id="rId125" Type="http://schemas.openxmlformats.org/officeDocument/2006/relationships/hyperlink" Target="https://www.sec.gov/Archives/edgar/data/1434868/000110465918049208/a18-14080_1ex10d1.htm" TargetMode="External"/><Relationship Id="rId126" Type="http://schemas.openxmlformats.org/officeDocument/2006/relationships/hyperlink" Target="http://www.sec.gov/Archives/edgar/data/1434868/000110465918049208/a18-14080_1ex10d1.htm" TargetMode="External"/><Relationship Id="rId127" Type="http://schemas.openxmlformats.org/officeDocument/2006/relationships/hyperlink" Target="http://www.sec.gov/Archives/edgar/data/1434868/000104746919000791/a2237755zex-10_16.htm" TargetMode="External"/><Relationship Id="rId128" Type="http://schemas.openxmlformats.org/officeDocument/2006/relationships/hyperlink" Target="https://www.sec.gov/Archives/edgar/data/1434868/000110465919037687/a19-12141_1ex10d1.htm" TargetMode="External"/><Relationship Id="rId129" Type="http://schemas.openxmlformats.org/officeDocument/2006/relationships/hyperlink" Target="http://www.sec.gov/Archives/edgar/data/1434868/000110465919037687/a19-12141_1ex10d1.htm" TargetMode="External"/><Relationship Id="rId130" Type="http://schemas.openxmlformats.org/officeDocument/2006/relationships/hyperlink" Target="https://www.sec.gov/Archives/edgar/data/1434868/000110465920026203/ex-10d16.htm" TargetMode="External"/><Relationship Id="rId131" Type="http://schemas.openxmlformats.org/officeDocument/2006/relationships/hyperlink" Target="http://www.sec.gov/Archives/edgar/data/1434868/000110465920026203/ex-10d16.htm" TargetMode="External"/><Relationship Id="rId132" Type="http://schemas.openxmlformats.org/officeDocument/2006/relationships/hyperlink" Target="http://www.sec.gov/Archives/edgar/data/1434868/000110465920092840/espr-20200630xex10d1.htm" TargetMode="External"/><Relationship Id="rId133" Type="http://schemas.openxmlformats.org/officeDocument/2006/relationships/hyperlink" Target="http://www.sec.gov/Archives/edgar/data/1434868/000110465920092840/espr-20200630xex10d2.htm" TargetMode="External"/><Relationship Id="rId134" Type="http://schemas.openxmlformats.org/officeDocument/2006/relationships/hyperlink" Target="http://www.sec.gov/Archives/edgar/data/1434868/000110465920092840/espr-20200630xex10d3.htm" TargetMode="External"/><Relationship Id="rId135" Type="http://schemas.openxmlformats.org/officeDocument/2006/relationships/hyperlink" Target="https://www.sec.gov/Archives/edgar/data/1434868/000110465920125920/tm2036069d1_ex10-1.htm" TargetMode="External"/><Relationship Id="rId136" Type="http://schemas.openxmlformats.org/officeDocument/2006/relationships/hyperlink" Target="http://www.sec.gov/Archives/edgar/data/1434868/000110465920125920/tm2036069d1_ex10-1.htm" TargetMode="External"/><Relationship Id="rId137" Type="http://schemas.openxmlformats.org/officeDocument/2006/relationships/hyperlink" Target="https://www.sec.gov/Archives/edgar/data/1434868/000110465920125920/tm2036069d1_ex10-2.htm" TargetMode="External"/><Relationship Id="rId138" Type="http://schemas.openxmlformats.org/officeDocument/2006/relationships/hyperlink" Target="http://www.sec.gov/Archives/edgar/data/1434868/000110465920125920/tm2036069d1_ex10-2.htm" TargetMode="External"/><Relationship Id="rId139" Type="http://schemas.openxmlformats.org/officeDocument/2006/relationships/hyperlink" Target="http://www.sec.gov/Archives/edgar/data/1434868/000162828021002865/ex-1022oberlandamendment.htm" TargetMode="External"/><Relationship Id="rId140" Type="http://schemas.openxmlformats.org/officeDocument/2006/relationships/hyperlink" Target="http://www.sec.gov/Archives/edgar/data/0001434868/000110465921129227/tm2130916d1_ex10-1.htm" TargetMode="External"/><Relationship Id="rId141" Type="http://schemas.openxmlformats.org/officeDocument/2006/relationships/hyperlink" Target="https://www.sec.gov/Archives/edgar/data/1434868/000162828021015248/ex101-licenseandcollaborat.htm" TargetMode="External"/><Relationship Id="rId142" Type="http://schemas.openxmlformats.org/officeDocument/2006/relationships/hyperlink" Target="http://www.sec.gov/Archives/edgar/data/1434868/000162828021015248/ex101-licenseandcollaborat.htm" TargetMode="External"/><Relationship Id="rId143" Type="http://schemas.openxmlformats.org/officeDocument/2006/relationships/hyperlink" Target="https://www.sec.gov/Archives/edgar/data/1434868/000162828021007598/ex101ripaamendment.htm" TargetMode="External"/><Relationship Id="rId144" Type="http://schemas.openxmlformats.org/officeDocument/2006/relationships/hyperlink" Target="http://www.sec.gov/Archives/edgar/data/0001434868/000162828021007598/ex101ripaamendment.htm" TargetMode="External"/><Relationship Id="rId145" Type="http://schemas.openxmlformats.org/officeDocument/2006/relationships/hyperlink" Target="https://www.sec.gov/Archives/edgar/data/1434868/000162828021008918/ex1012ndamendmentdseagreem.htm" TargetMode="External"/><Relationship Id="rId146" Type="http://schemas.openxmlformats.org/officeDocument/2006/relationships/hyperlink" Target="http://www.sec.gov/Archives/edgar/data/0001434868/000162828021008918/ex1012ndamendmentdseagreem.htm" TargetMode="External"/><Relationship Id="rId147" Type="http://schemas.openxmlformats.org/officeDocument/2006/relationships/hyperlink" Target="https://www.sec.gov/Archives/edgar/data/1434868/000162828022015495/exhibit99152022.htm" TargetMode="External"/><Relationship Id="rId148" Type="http://schemas.openxmlformats.org/officeDocument/2006/relationships/hyperlink" Target="https://www.sec.gov/Archives/edgar/data/1434868/000110465922119533/tm2230242d1_ex10-1.htm" TargetMode="External"/><Relationship Id="rId149" Type="http://schemas.openxmlformats.org/officeDocument/2006/relationships/hyperlink" Target="https://www.sec.gov/Archives/edgar/data/1434868/000162828022016957/a101koenigemploymentagreem.htm" TargetMode="External"/><Relationship Id="rId150" Type="http://schemas.openxmlformats.org/officeDocument/2006/relationships/hyperlink" Target="https://www.sec.gov/Archives/edgar/data/1434868/000162828022016957/a102foodyemploymentagreeme.htm" TargetMode="External"/><Relationship Id="rId151" Type="http://schemas.openxmlformats.org/officeDocument/2006/relationships/hyperlink" Target="https://www.sec.gov/Archives/edgar/data/1434868/000162828022016957/a103warrenemploymentagreem.htm" TargetMode="External"/><Relationship Id="rId152" Type="http://schemas.openxmlformats.org/officeDocument/2006/relationships/hyperlink" Target="https://www.sec.gov/Archives/edgar/data/1434868/000162828022016957/a104lookeremploymentagreem.htm" TargetMode="External"/><Relationship Id="rId154" Type="http://schemas.openxmlformats.org/officeDocument/2006/relationships/hyperlink" Target="http://www.sec.gov/Archives/edgar/data/1434868/000104746913006083/a221466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2023-02-21T08:31:57Z</dcterms:created>
  <dcterms:modified xsi:type="dcterms:W3CDTF">2023-02-21T08:31:57Z</dcterms:modified>
</cp:coreProperties>
</file>