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064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437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638810</wp:posOffset>
            </wp:positionV>
            <wp:extent cx="706437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4375" cy="16510"/>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ectPr>
          <w:pgSz w:w="11900" w:h="16838" w:orient="portrait"/>
          <w:cols w:equalWidth="0" w:num="1">
            <w:col w:w="11240"/>
          </w:cols>
          <w:pgMar w:left="320" w:top="1154" w:right="339" w:bottom="1440" w:gutter="0" w:footer="0" w:header="0"/>
        </w:sectPr>
      </w:pPr>
    </w:p>
    <w:p>
      <w:pPr>
        <w:spacing w:after="0" w:line="96"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3" w:lineRule="exact"/>
        <w:rPr>
          <w:sz w:val="24"/>
          <w:szCs w:val="24"/>
          <w:color w:val="auto"/>
        </w:rPr>
      </w:pPr>
    </w:p>
    <w:p>
      <w:pPr>
        <w:jc w:val="center"/>
        <w:ind w:left="3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left="3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2"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3400" w:right="2980" w:hanging="3404"/>
        <w:spacing w:after="0" w:line="452" w:lineRule="auto"/>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Commission file number: 001-35986</w:t>
      </w:r>
    </w:p>
    <w:p>
      <w:pPr>
        <w:spacing w:after="0" w:line="64" w:lineRule="exact"/>
        <w:rPr>
          <w:sz w:val="24"/>
          <w:szCs w:val="24"/>
          <w:color w:val="auto"/>
        </w:rPr>
      </w:pPr>
    </w:p>
    <w:p>
      <w:pPr>
        <w:sectPr>
          <w:pgSz w:w="11900" w:h="16838" w:orient="portrait"/>
          <w:cols w:equalWidth="0" w:num="2">
            <w:col w:w="1000" w:space="260"/>
            <w:col w:w="9980"/>
          </w:cols>
          <w:pgMar w:left="320" w:top="115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6"/>
          <w:szCs w:val="26"/>
          <w:b w:val="1"/>
          <w:bCs w:val="1"/>
          <w:color w:val="auto"/>
        </w:rPr>
        <w:t>Esperion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340" w:type="dxa"/>
            <w:vAlign w:val="bottom"/>
            <w:gridSpan w:val="4"/>
          </w:tcPr>
          <w:p>
            <w:pPr>
              <w:jc w:val="center"/>
              <w:ind w:right="262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260" w:type="dxa"/>
            <w:vAlign w:val="bottom"/>
          </w:tcPr>
          <w:p>
            <w:pPr>
              <w:jc w:val="right"/>
              <w:ind w:right="2811"/>
              <w:spacing w:after="0"/>
              <w:rPr>
                <w:sz w:val="20"/>
                <w:szCs w:val="20"/>
                <w:color w:val="auto"/>
              </w:rPr>
            </w:pPr>
            <w:r>
              <w:rPr>
                <w:rFonts w:ascii="Times New Roman" w:cs="Times New Roman" w:eastAsia="Times New Roman" w:hAnsi="Times New Roman"/>
                <w:sz w:val="14"/>
                <w:szCs w:val="14"/>
                <w:b w:val="1"/>
                <w:bCs w:val="1"/>
                <w:color w:val="auto"/>
              </w:rPr>
              <w:t>26-1870780</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6840" w:type="dxa"/>
            <w:vAlign w:val="bottom"/>
            <w:gridSpan w:val="5"/>
          </w:tcPr>
          <w:p>
            <w:pPr>
              <w:jc w:val="center"/>
              <w:ind w:left="791"/>
              <w:spacing w:after="0"/>
              <w:rPr>
                <w:sz w:val="20"/>
                <w:szCs w:val="20"/>
                <w:color w:val="auto"/>
              </w:rPr>
            </w:pPr>
            <w:r>
              <w:rPr>
                <w:rFonts w:ascii="Times New Roman" w:cs="Times New Roman" w:eastAsia="Times New Roman" w:hAnsi="Times New Roman"/>
                <w:sz w:val="14"/>
                <w:szCs w:val="14"/>
                <w:color w:val="auto"/>
                <w:w w:val="98"/>
              </w:rPr>
              <w:t>(State or Other Jurisdiction of Incorporation or Organization)</w:t>
            </w:r>
          </w:p>
        </w:tc>
        <w:tc>
          <w:tcPr>
            <w:tcW w:w="4260" w:type="dxa"/>
            <w:vAlign w:val="bottom"/>
          </w:tcPr>
          <w:p>
            <w:pPr>
              <w:jc w:val="center"/>
              <w:ind w:right="211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3891 Ranchero Drive, Suite 150</w:t>
            </w: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Ann Arbor, MI 48108</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600" w:type="dxa"/>
            <w:vAlign w:val="bottom"/>
            <w:gridSpan w:val="5"/>
          </w:tcPr>
          <w:p>
            <w:pPr>
              <w:jc w:val="center"/>
              <w:ind w:right="3431"/>
              <w:spacing w:after="0"/>
              <w:rPr>
                <w:sz w:val="20"/>
                <w:szCs w:val="20"/>
                <w:color w:val="auto"/>
              </w:rPr>
            </w:pPr>
            <w:r>
              <w:rPr>
                <w:rFonts w:ascii="Times New Roman" w:cs="Times New Roman" w:eastAsia="Times New Roman" w:hAnsi="Times New Roman"/>
                <w:sz w:val="14"/>
                <w:szCs w:val="14"/>
                <w:color w:val="auto"/>
                <w:w w:val="98"/>
              </w:rPr>
              <w:t>(Address of principal executive office) (Zip Code)</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600" w:type="dxa"/>
            <w:vAlign w:val="bottom"/>
            <w:gridSpan w:val="5"/>
          </w:tcPr>
          <w:p>
            <w:pPr>
              <w:jc w:val="center"/>
              <w:ind w:right="3431"/>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0" w:type="dxa"/>
            <w:vAlign w:val="bottom"/>
          </w:tcPr>
          <w:p>
            <w:pPr>
              <w:spacing w:after="0"/>
              <w:rPr>
                <w:sz w:val="1"/>
                <w:szCs w:val="1"/>
                <w:color w:val="auto"/>
              </w:rPr>
            </w:pPr>
          </w:p>
        </w:tc>
      </w:tr>
      <w:tr>
        <w:trPr>
          <w:trHeight w:val="159"/>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40" w:type="dxa"/>
            <w:vAlign w:val="bottom"/>
            <w:gridSpan w:val="3"/>
          </w:tcPr>
          <w:p>
            <w:pPr>
              <w:jc w:val="center"/>
              <w:ind w:left="1073"/>
              <w:spacing w:after="0"/>
              <w:rPr>
                <w:sz w:val="20"/>
                <w:szCs w:val="20"/>
                <w:color w:val="auto"/>
              </w:rPr>
            </w:pPr>
            <w:r>
              <w:rPr>
                <w:rFonts w:ascii="Times New Roman" w:cs="Times New Roman" w:eastAsia="Times New Roman" w:hAnsi="Times New Roman"/>
                <w:sz w:val="12"/>
                <w:szCs w:val="12"/>
                <w:b w:val="1"/>
                <w:bCs w:val="1"/>
                <w:color w:val="auto"/>
              </w:rPr>
              <w:t>(734) 887-3903</w:t>
            </w:r>
          </w:p>
        </w:tc>
        <w:tc>
          <w:tcPr>
            <w:tcW w:w="4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3500" w:type="dxa"/>
            <w:vAlign w:val="bottom"/>
          </w:tcPr>
          <w:p>
            <w:pPr>
              <w:jc w:val="center"/>
              <w:ind w:left="63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500" w:type="dxa"/>
            <w:vAlign w:val="bottom"/>
          </w:tcPr>
          <w:p>
            <w:pPr>
              <w:jc w:val="center"/>
              <w:ind w:left="631"/>
              <w:spacing w:after="0"/>
              <w:rPr>
                <w:sz w:val="20"/>
                <w:szCs w:val="20"/>
                <w:color w:val="auto"/>
              </w:rPr>
            </w:pPr>
            <w:r>
              <w:rPr>
                <w:rFonts w:ascii="Times New Roman" w:cs="Times New Roman" w:eastAsia="Times New Roman" w:hAnsi="Times New Roman"/>
                <w:sz w:val="14"/>
                <w:szCs w:val="14"/>
                <w:color w:val="auto"/>
                <w:w w:val="97"/>
              </w:rPr>
              <w:t>Common Stock, $0.001 par value</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ESPR</w:t>
            </w:r>
          </w:p>
        </w:tc>
        <w:tc>
          <w:tcPr>
            <w:tcW w:w="40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 Stock Market LLC</w:t>
            </w:r>
          </w:p>
        </w:tc>
        <w:tc>
          <w:tcPr>
            <w:tcW w:w="0" w:type="dxa"/>
            <w:vAlign w:val="bottom"/>
          </w:tcPr>
          <w:p>
            <w:pPr>
              <w:spacing w:after="0"/>
              <w:rPr>
                <w:sz w:val="1"/>
                <w:szCs w:val="1"/>
                <w:color w:val="auto"/>
              </w:rPr>
            </w:pPr>
          </w:p>
        </w:tc>
      </w:tr>
      <w:tr>
        <w:trPr>
          <w:trHeight w:val="25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 xml:space="preserve">Securities registered pursuant to Section 12(g) of the Act: </w:t>
            </w:r>
            <w:r>
              <w:rPr>
                <w:rFonts w:ascii="Times New Roman" w:cs="Times New Roman" w:eastAsia="Times New Roman" w:hAnsi="Times New Roman"/>
                <w:sz w:val="14"/>
                <w:szCs w:val="14"/>
                <w:b w:val="1"/>
                <w:bCs w:val="1"/>
                <w:color w:val="auto"/>
                <w:w w:val="99"/>
              </w:rPr>
              <w:t>None</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2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5" w:lineRule="exact"/>
        <w:rPr>
          <w:sz w:val="24"/>
          <w:szCs w:val="24"/>
          <w:color w:val="auto"/>
        </w:rPr>
      </w:pPr>
    </w:p>
    <w:p>
      <w:pPr>
        <w:ind w:right="18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40"/>
        <w:spacing w:after="0" w:line="23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p>
      <w:pPr>
        <w:ind w:left="80"/>
        <w:spacing w:after="0" w:line="161" w:lineRule="exact"/>
        <w:tabs>
          <w:tab w:leader="none" w:pos="1720" w:val="left"/>
          <w:tab w:leader="none" w:pos="3020" w:val="left"/>
          <w:tab w:leader="none" w:pos="4640" w:val="left"/>
          <w:tab w:leader="none" w:pos="5940" w:val="left"/>
          <w:tab w:leader="none" w:pos="7560" w:val="left"/>
          <w:tab w:leader="none" w:pos="886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1"/>
          <w:szCs w:val="11"/>
          <w:color w:val="auto"/>
        </w:rPr>
        <w:t>☐</w:t>
      </w:r>
    </w:p>
    <w:p>
      <w:pPr>
        <w:spacing w:after="0" w:line="65" w:lineRule="exact"/>
        <w:rPr>
          <w:sz w:val="24"/>
          <w:szCs w:val="24"/>
          <w:color w:val="auto"/>
        </w:rPr>
      </w:pPr>
    </w:p>
    <w:p>
      <w:pPr>
        <w:ind w:left="8880"/>
        <w:spacing w:after="0" w:line="161" w:lineRule="exact"/>
        <w:tabs>
          <w:tab w:leader="none" w:pos="109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96" w:lineRule="exact"/>
        <w:rPr>
          <w:sz w:val="24"/>
          <w:szCs w:val="24"/>
          <w:color w:val="auto"/>
        </w:rPr>
      </w:pPr>
    </w:p>
    <w:p>
      <w:pPr>
        <w:ind w:right="48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0"/>
        <w:spacing w:after="0" w:line="175"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4"/>
          <w:szCs w:val="24"/>
          <w:color w:val="auto"/>
        </w:rPr>
      </w:pPr>
    </w:p>
    <w:p>
      <w:pPr>
        <w:ind w:right="300"/>
        <w:spacing w:after="0" w:line="177"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460"/>
        <w:spacing w:after="0" w:line="252"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on June 30, 2024, based upon the closing price of $2.22 of the registrant’s common stock as reported on the NASDAQ Global Market as of June 28, 2024 (the last business day of the registrant's most recently completed second fiscal quarter), was approximately $435.1 million. For purposes of foregoing calculation only, all directors and executive officers of the registrants are assumed to be affiliates of the registrant. This determination of affiliate status is not a determination for other purposes. As of February 28, 2025, there were 197,848,886 shares of the registrant’s common stock, $0.001 par value per share, outstanding.</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55" w:lineRule="exact"/>
        <w:rPr>
          <w:sz w:val="24"/>
          <w:szCs w:val="24"/>
          <w:color w:val="auto"/>
        </w:rPr>
      </w:pPr>
    </w:p>
    <w:p>
      <w:pPr>
        <w:ind w:right="160"/>
        <w:spacing w:after="0" w:line="276"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information from the registrant's definitive Proxy Statement for its 2025 Annual Meeting of Stockholders, which is expected to be filed with the Securities and Exchange Commission not later than 120 days after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470535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24130</wp:posOffset>
            </wp:positionV>
            <wp:extent cx="706437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4375" cy="1651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0</wp:posOffset>
            </wp:positionV>
            <wp:extent cx="7064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2"/>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15"/>
          </w:tcPr>
          <w:p>
            <w:pPr>
              <w:jc w:val="center"/>
              <w:ind w:right="36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2"/>
            <w:vMerge w:val="restart"/>
          </w:tcPr>
          <w:p>
            <w:pPr>
              <w:jc w:val="center"/>
              <w:ind w:right="4340"/>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12"/>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w:t>
            </w:r>
          </w:p>
        </w:tc>
        <w:tc>
          <w:tcPr>
            <w:tcW w:w="160" w:type="dxa"/>
            <w:vAlign w:val="bottom"/>
          </w:tcPr>
          <w:p>
            <w:pPr>
              <w:spacing w:after="0"/>
              <w:rPr>
                <w:sz w:val="17"/>
                <w:szCs w:val="17"/>
                <w:color w:val="auto"/>
              </w:rPr>
            </w:pPr>
          </w:p>
        </w:tc>
        <w:tc>
          <w:tcPr>
            <w:tcW w:w="39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Business</w:t>
            </w:r>
          </w:p>
        </w:tc>
        <w:tc>
          <w:tcPr>
            <w:tcW w:w="560" w:type="dxa"/>
            <w:vAlign w:val="bottom"/>
            <w:tcBorders>
              <w:top w:val="single" w:sz="8" w:color="0000FF"/>
            </w:tcBorders>
            <w:gridSpan w:val="2"/>
          </w:tcPr>
          <w:p>
            <w:pPr>
              <w:spacing w:after="0"/>
              <w:rPr>
                <w:sz w:val="17"/>
                <w:szCs w:val="17"/>
                <w:color w:val="auto"/>
              </w:rPr>
            </w:pPr>
          </w:p>
        </w:tc>
        <w:tc>
          <w:tcPr>
            <w:tcW w:w="4380" w:type="dxa"/>
            <w:vAlign w:val="bottom"/>
            <w:gridSpan w:val="9"/>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8060" w:type="dxa"/>
            <w:vAlign w:val="bottom"/>
            <w:gridSpan w:val="24"/>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1B.</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1C.</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7960" w:type="dxa"/>
            <w:vAlign w:val="bottom"/>
            <w:gridSpan w:val="23"/>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2"/>
          </w:tcPr>
          <w:p>
            <w:pPr>
              <w:jc w:val="center"/>
              <w:ind w:right="4360"/>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5.</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6.</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7.</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7A.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800" w:type="dxa"/>
            <w:vAlign w:val="bottom"/>
            <w:gridSpan w:val="10"/>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8.</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9A.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9B.</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40" w:type="dxa"/>
            <w:vAlign w:val="bottom"/>
            <w:gridSpan w:val="20"/>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9C.</w:t>
            </w:r>
          </w:p>
        </w:tc>
        <w:tc>
          <w:tcPr>
            <w:tcW w:w="160" w:type="dxa"/>
            <w:vAlign w:val="bottom"/>
          </w:tcPr>
          <w:p>
            <w:pPr>
              <w:spacing w:after="0"/>
              <w:rPr>
                <w:sz w:val="19"/>
                <w:szCs w:val="19"/>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720" w:type="dxa"/>
            <w:vAlign w:val="bottom"/>
            <w:tcBorders>
              <w:top w:val="single" w:sz="8" w:color="0000FF"/>
              <w:bottom w:val="single" w:sz="8" w:color="0000FF"/>
            </w:tcBorders>
            <w:gridSpan w:val="8"/>
          </w:tcPr>
          <w:p>
            <w:pPr>
              <w:jc w:val="center"/>
              <w:ind w:right="20"/>
              <w:spacing w:after="0" w:line="180" w:lineRule="exact"/>
              <w:rPr>
                <w:sz w:val="20"/>
                <w:szCs w:val="20"/>
                <w:color w:val="auto"/>
              </w:rPr>
            </w:pPr>
            <w:r>
              <w:rPr>
                <w:rFonts w:ascii="Times New Roman" w:cs="Times New Roman" w:eastAsia="Times New Roman" w:hAnsi="Times New Roman"/>
                <w:sz w:val="17"/>
                <w:szCs w:val="17"/>
                <w:b w:val="1"/>
                <w:bCs w:val="1"/>
                <w:color w:val="0000FF"/>
                <w:w w:val="99"/>
              </w:rPr>
              <w:t>PART III</w:t>
            </w:r>
          </w:p>
        </w:tc>
        <w:tc>
          <w:tcPr>
            <w:tcW w:w="60" w:type="dxa"/>
            <w:vAlign w:val="bottom"/>
            <w:tcBorders>
              <w:top w:val="single" w:sz="8" w:color="0000FF"/>
            </w:tcBorders>
          </w:tcPr>
          <w:p>
            <w:pPr>
              <w:spacing w:after="0"/>
              <w:rPr>
                <w:sz w:val="15"/>
                <w:szCs w:val="15"/>
                <w:color w:val="auto"/>
              </w:rPr>
            </w:pPr>
          </w:p>
        </w:tc>
        <w:tc>
          <w:tcPr>
            <w:tcW w:w="424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10.</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980" w:type="dxa"/>
            <w:vAlign w:val="bottom"/>
            <w:gridSpan w:val="12"/>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11.</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Item 12.</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13.</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9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960" w:type="dxa"/>
            <w:vAlign w:val="bottom"/>
            <w:gridSpan w:val="2"/>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14.</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52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3720" w:type="dxa"/>
            <w:vAlign w:val="bottom"/>
            <w:gridSpan w:val="4"/>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20" w:type="dxa"/>
            <w:vAlign w:val="bottom"/>
            <w:gridSpan w:val="14"/>
          </w:tcPr>
          <w:p>
            <w:pPr>
              <w:jc w:val="center"/>
              <w:ind w:right="432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15.</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900" w:type="dxa"/>
            <w:vAlign w:val="bottom"/>
            <w:gridSpan w:val="3"/>
          </w:tcPr>
          <w:p>
            <w:pPr>
              <w:spacing w:after="0"/>
              <w:rPr>
                <w:sz w:val="17"/>
                <w:szCs w:val="17"/>
                <w:color w:val="auto"/>
              </w:rPr>
            </w:pPr>
          </w:p>
        </w:tc>
        <w:tc>
          <w:tcPr>
            <w:tcW w:w="680" w:type="dxa"/>
            <w:vAlign w:val="bottom"/>
            <w:tcBorders>
              <w:top w:val="single" w:sz="8" w:color="0000FF"/>
            </w:tcBorders>
            <w:gridSpan w:val="6"/>
          </w:tcPr>
          <w:p>
            <w:pPr>
              <w:spacing w:after="0"/>
              <w:rPr>
                <w:sz w:val="17"/>
                <w:szCs w:val="17"/>
                <w:color w:val="auto"/>
              </w:rPr>
            </w:pPr>
          </w:p>
        </w:tc>
        <w:tc>
          <w:tcPr>
            <w:tcW w:w="4320" w:type="dxa"/>
            <w:vAlign w:val="bottom"/>
            <w:gridSpan w:val="7"/>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16.</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Form 10-K Summary</w:t>
            </w:r>
          </w:p>
        </w:tc>
        <w:tc>
          <w:tcPr>
            <w:tcW w:w="7440" w:type="dxa"/>
            <w:vAlign w:val="bottom"/>
            <w:gridSpan w:val="21"/>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8200" w:type="dxa"/>
            <w:vAlign w:val="bottom"/>
            <w:gridSpan w:val="25"/>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We use various trademarks and trade names in our business, including without limitation our corporate name and logo. This Annual Report on Form 10-K may also contain trademarks, service marks and trade names of third parties, which are the property of their respective owners. Our use or display of third parties’ trademarks, service marks, trade names or products in this Annual Report on Form 10-K is not intended to, and does not imply a relationship with, or endorsement or sponsorship by us. Solely for convenience, the trademarks and trade names in this Annual Report on Form 10-K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Material Risks Associated with Our Business</w:t>
      </w:r>
    </w:p>
    <w:p>
      <w:pPr>
        <w:spacing w:after="0" w:line="22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be aware of before making an investment decision, including those highlighted in the section entitled “Risk Factors.” These risks include, but are not limited to, the following:</w:t>
      </w:r>
    </w:p>
    <w:p>
      <w:pPr>
        <w:spacing w:after="0" w:line="151" w:lineRule="exact"/>
        <w:rPr>
          <w:sz w:val="20"/>
          <w:szCs w:val="20"/>
          <w:color w:val="auto"/>
        </w:rPr>
      </w:pPr>
    </w:p>
    <w:p>
      <w:pPr>
        <w:ind w:left="620" w:right="120" w:hanging="307"/>
        <w:spacing w:after="0" w:line="265"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almost entirely on the success of two products, the bempedoic acid tablet and the bempedoic acid / ezetimibe combination tablet. There is no assurance that our continued commercialization efforts in the U.S. and our partner's efforts, including Daiichi Sankyo Europe GmbH, or DSE, Otsuka Pharmaceutical Co., Ltd., or Otsuka, and Daiichi Sankyo Co. Ltd, or DS, with respect to either product will be successful or that we will be able to generate revenues at the levels or within the timing we expect or at the levels or within the timing necessary to support our corporate goals.</w:t>
      </w:r>
    </w:p>
    <w:p>
      <w:pPr>
        <w:spacing w:after="0" w:line="170"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operating history as a commercial company and limited experience in the marketing and sale of NEXLETOL® (bempedoic acid) tablet and NEXLIZET® (bempedoic acid and ezetimibe) tablet in the U.S.</w:t>
      </w:r>
    </w:p>
    <w:p>
      <w:pPr>
        <w:spacing w:after="0" w:line="151" w:lineRule="exact"/>
        <w:rPr>
          <w:rFonts w:ascii="Times New Roman" w:cs="Times New Roman" w:eastAsia="Times New Roman" w:hAnsi="Times New Roman"/>
          <w:sz w:val="17"/>
          <w:szCs w:val="17"/>
          <w:color w:val="auto"/>
        </w:rPr>
      </w:pPr>
    </w:p>
    <w:p>
      <w:pPr>
        <w:ind w:left="620" w:right="78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approved drugs, and of any future approved drugs, will depend upon, among other things, the degree of market acceptance by physicians, patients, third-party payers, and others in the medical community</w:t>
      </w:r>
    </w:p>
    <w:p>
      <w:pPr>
        <w:spacing w:after="0" w:line="151" w:lineRule="exact"/>
        <w:rPr>
          <w:rFonts w:ascii="Times New Roman" w:cs="Times New Roman" w:eastAsia="Times New Roman" w:hAnsi="Times New Roman"/>
          <w:sz w:val="17"/>
          <w:szCs w:val="17"/>
          <w:color w:val="auto"/>
        </w:rPr>
      </w:pPr>
    </w:p>
    <w:p>
      <w:pPr>
        <w:ind w:left="620" w:right="46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or maintain adequate coverage and reimbursement for new or current products could limit our ability to market those products and decrease our ability to generate revenue.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substantial additional capital in the future. If additional capital is not available, we will have to delay, reduce or cease operations.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never achieve or maintain profitability.</w:t>
      </w:r>
    </w:p>
    <w:p>
      <w:pPr>
        <w:spacing w:after="0" w:line="217" w:lineRule="exact"/>
        <w:rPr>
          <w:rFonts w:ascii="Times New Roman" w:cs="Times New Roman" w:eastAsia="Times New Roman" w:hAnsi="Times New Roman"/>
          <w:sz w:val="17"/>
          <w:szCs w:val="17"/>
          <w:color w:val="auto"/>
        </w:rPr>
      </w:pPr>
    </w:p>
    <w:p>
      <w:pPr>
        <w:jc w:val="both"/>
        <w:ind w:left="620" w:right="520" w:hanging="307"/>
        <w:spacing w:after="0" w:line="270"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67"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Recently enacted and future legislation may increase the difficulty and cost for us to obtain marketing approval of and commercialize our drug candidates and may decrease the prices we may obtain for our approved drugs.</w:t>
      </w:r>
    </w:p>
    <w:p>
      <w:pPr>
        <w:spacing w:after="0" w:line="138" w:lineRule="exact"/>
        <w:rPr>
          <w:rFonts w:ascii="Times New Roman" w:cs="Times New Roman" w:eastAsia="Times New Roman" w:hAnsi="Times New Roman"/>
          <w:sz w:val="17"/>
          <w:szCs w:val="17"/>
          <w:color w:val="auto"/>
        </w:rPr>
      </w:pPr>
    </w:p>
    <w:p>
      <w:pPr>
        <w:ind w:left="620" w:right="40" w:hanging="307"/>
        <w:spacing w:after="0"/>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obtained regulatory approval from the U.S. Food and Drug Administration, or FDA, the European Medicines Agency, or EMA (which, with respect to the United Kingdom, or UK, converted to a Great Britain marketing authorization on January 1, 2021), and the Swiss Agency for Therapeutic Products, or Swissmedic, for both of our leading products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We cannot be certain that we will be able to obtain approval for these expanded indications from regulatory authorities in other territories we or our ex-U.S. commercial partners decide to pursue, or successfully commercialize our products and any future product candidates in any territories. Additionally, we cannot be certain that we will be able to obtain approval of either of our products for any other indication or approval of any future product candidates.</w:t>
      </w:r>
    </w:p>
    <w:p>
      <w:pPr>
        <w:spacing w:after="0" w:line="204" w:lineRule="exact"/>
        <w:rPr>
          <w:rFonts w:ascii="Times New Roman" w:cs="Times New Roman" w:eastAsia="Times New Roman" w:hAnsi="Times New Roman"/>
          <w:sz w:val="17"/>
          <w:szCs w:val="17"/>
          <w:color w:val="auto"/>
        </w:rPr>
      </w:pPr>
    </w:p>
    <w:p>
      <w:pPr>
        <w:ind w:left="620" w:right="60" w:hanging="307"/>
        <w:spacing w:after="0" w:line="249"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approved drugs and any drug candidates for which we obtain marketing approval will be subject to ongoing enforcement of post-marketing requirements and we could be subject to substantial penalties, including withdrawal of our approved drugs or any future approved products from the market, if we fail to comply with all regulatory requirements or if we experience unanticipated problems with our approved drugs or any future approved products, when and if any of them are approved.</w:t>
      </w:r>
    </w:p>
    <w:p>
      <w:pPr>
        <w:spacing w:after="0" w:line="183"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pharmaceutical products is complex and subject to product loss for a variety of reasons. We contract with third parties for the manufacture of the bempedoic acid tablet and the bempedoic acid / ezetimibe combination tablet for commercialization and clinical trials.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40" w:hanging="307"/>
        <w:spacing w:after="0" w:line="288"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adequately prevent disclosure of trade secrets and other proprietary information, the value of our technology and products could be significantly diminished.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debt may require a significant amount of cash. If such cash is not available, we will have to delay, reduce or cease operations.</w:t>
      </w:r>
    </w:p>
    <w:p>
      <w:pPr>
        <w:spacing w:after="0" w:line="243" w:lineRule="exact"/>
        <w:rPr>
          <w:rFonts w:ascii="Times New Roman" w:cs="Times New Roman" w:eastAsia="Times New Roman" w:hAnsi="Times New Roman"/>
          <w:sz w:val="17"/>
          <w:szCs w:val="17"/>
          <w:color w:val="auto"/>
        </w:rPr>
      </w:pPr>
    </w:p>
    <w:p>
      <w:pPr>
        <w:ind w:left="620" w:right="640" w:hanging="307"/>
        <w:spacing w:after="0" w:line="270"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relationships with customers and third-party payors are subject to applicable anti-kickback, fraud and abuse, and other healthcare laws and regulations, and health information privacy and security laws, which could expose us to criminal sanctions, civil penalties, contractual damages, reputational harm, and diminished profits and future earnings.</w:t>
      </w:r>
    </w:p>
    <w:p>
      <w:pPr>
        <w:spacing w:after="0" w:line="19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at an increased risk of securities class action litigation.</w:t>
      </w:r>
    </w:p>
    <w:p>
      <w:pPr>
        <w:spacing w:after="0" w:line="24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7" w:lineRule="exact"/>
        <w:rPr>
          <w:sz w:val="20"/>
          <w:szCs w:val="20"/>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NEXLETOL® (bempedoic acid) tablet and NEXLIZET® (bempedoic acid and ezetimibe) tablet in the United States and any other jurisdictions where we or our ex-U.S. partners may receive marketing approval in the future;</w:t>
      </w:r>
    </w:p>
    <w:p>
      <w:pPr>
        <w:spacing w:after="0" w:line="151"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timeline to obtain and maintain regulatory approval for our approved drugs or obtain and maintain regulatory approval for any of our current or future drug candidates, and any related restrictions, limitations, and/or warnings in the labels of NEXLETOL, NEXLIZET, NILEMDO® (bempedoic acid) tablet and NUSTENDI® (bempedoic acid and ezetimibe) tablet, or any of our current or future drug candidates that may receive marketing approval;</w:t>
      </w:r>
    </w:p>
    <w:p>
      <w:pPr>
        <w:spacing w:after="0" w:line="17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for our approved drugs or any current or future drug candidate for which we may receive marketing approval;</w:t>
      </w:r>
    </w:p>
    <w:p>
      <w:pPr>
        <w:spacing w:after="0" w:line="217"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plans in managing our commercial infrastructure and successfully launch, market, and sell our approved drugs and any current or future drug candidate (or additional indications) for which we may receive marketing approval;</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clinical, regulatory or commercial milestones with our existing cash resources;</w:t>
      </w:r>
    </w:p>
    <w:p>
      <w:pPr>
        <w:spacing w:after="0" w:line="217"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applicable milestone payments from our partners and generate additional revenue as a result of the expanded indications for our products;</w:t>
      </w:r>
    </w:p>
    <w:p>
      <w:pPr>
        <w:spacing w:after="0" w:line="151"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the commercial collaboration and license arrangements with DSE, Otsuka, DS, and our other partners, including receiving potential milestone or royalty payments from collaboration partners;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replicate positive results from a completed clinical study in a future clinical study;</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effectiveness or safety of bempedoic acid and the bempedoic acid / ezetimibe combination tablet, as compared to statins and other low density lipoprotein cholesterol, or LDL-C, or cardiovascular risk lowering therapies, either those currently available or those in development;</w:t>
      </w:r>
    </w:p>
    <w:p>
      <w:pPr>
        <w:spacing w:after="0" w:line="151"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and adhere to changes in regulatory requirements, including any requirement to conduct additional, unplanned clinical studies of bempedoic acid and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guidelines relating to LDL-C levels and cardiovascular risk that are generally accepted within the medical community, including recent changes and any future changes to such guidelines;</w:t>
      </w:r>
    </w:p>
    <w:p>
      <w:pPr>
        <w:spacing w:after="0" w:line="151" w:lineRule="exact"/>
        <w:rPr>
          <w:rFonts w:ascii="Times New Roman" w:cs="Times New Roman" w:eastAsia="Times New Roman" w:hAnsi="Times New Roman"/>
          <w:sz w:val="17"/>
          <w:szCs w:val="17"/>
          <w:color w:val="auto"/>
        </w:rPr>
      </w:pPr>
    </w:p>
    <w:p>
      <w:pPr>
        <w:ind w:left="620" w:right="14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policies, including any future changes to such policies or related legislative, executive, or administrative actions, and their impact on our ability to market, distribute and obtain payment for bempedoic acid and the bempedoic acid / ezetimibe combination tablet in the United States and in Europe, and in other territories;</w:t>
      </w:r>
    </w:p>
    <w:p>
      <w:pPr>
        <w:spacing w:after="0" w:line="16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of the size and growth potential of the LDL-C and cardiovascular risk lowering markets and the rate and degree of bempedoic acid and the bempedoic acid / ezetimibe combination tablet's market acceptance in the United States and in Europe, and in other territories;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4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healthcare laws and regulations in the U.S. and any foreign countries, including, without limitation, those applying to the marketing and sale of commercial drugs;</w:t>
      </w:r>
    </w:p>
    <w:p>
      <w:pPr>
        <w:spacing w:after="0" w:line="151" w:lineRule="exact"/>
        <w:rPr>
          <w:rFonts w:ascii="Times New Roman" w:cs="Times New Roman" w:eastAsia="Times New Roman" w:hAnsi="Times New Roman"/>
          <w:sz w:val="17"/>
          <w:szCs w:val="17"/>
          <w:color w:val="auto"/>
        </w:rPr>
      </w:pPr>
    </w:p>
    <w:p>
      <w:pPr>
        <w:ind w:left="620" w:right="38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intellectual property protection for bempedoic acid and the bempedoic acid / ezetimibe combination tablet without infringing on the intellectual property rights of others in the U.S., Europe and other territories;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 including scientific, clinical, commercial or management personnel;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 and ability to establish strategic relationships or partnerships, as needed;</w:t>
      </w:r>
    </w:p>
    <w:p>
      <w:pPr>
        <w:spacing w:after="0" w:line="21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payment obligations under our credit agreement and to service the interest on our convertible notes and repay such notes, to the extent required;</w:t>
      </w:r>
    </w:p>
    <w:p>
      <w:pPr>
        <w:spacing w:after="0" w:line="151" w:lineRule="exact"/>
        <w:rPr>
          <w:rFonts w:ascii="Times New Roman" w:cs="Times New Roman" w:eastAsia="Times New Roman" w:hAnsi="Times New Roman"/>
          <w:sz w:val="17"/>
          <w:szCs w:val="17"/>
          <w:color w:val="auto"/>
        </w:rPr>
      </w:pPr>
    </w:p>
    <w:p>
      <w:pPr>
        <w:ind w:left="620" w:right="120" w:hanging="307"/>
        <w:spacing w:after="0" w:line="262"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geopolitical developments on our business, including economic slowdowns or recessions and market disruptions that may result from, among others, global conflicts, tariffs (including tariffs that have been or may in the future be imposed by the United Stated or other countries), sanctions, trade protection measures or other trade barriers (including further legislation or actions taken by the United States or other countries that restrict trade), trade protection measures, economic sanctions, an inflationary environment, which could harm our commercialization efforts, as well as the value of our common stock and our ability to access capital markets; and</w:t>
      </w:r>
    </w:p>
    <w:p>
      <w:pPr>
        <w:spacing w:after="0" w:line="173" w:lineRule="exact"/>
        <w:rPr>
          <w:rFonts w:ascii="Times New Roman" w:cs="Times New Roman" w:eastAsia="Times New Roman" w:hAnsi="Times New Roman"/>
          <w:sz w:val="17"/>
          <w:szCs w:val="17"/>
          <w:color w:val="auto"/>
        </w:rPr>
      </w:pPr>
    </w:p>
    <w:p>
      <w:pPr>
        <w:ind w:left="620" w:right="7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companies that are, or may be, developing or selling products that may compete with bempedoic acid and the bempedoic acid / ezetimibe combination tablet, in the United States and in Europe, and in other territories.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the markets for our products.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3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Annual Report on Form 10-K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 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requires otherwise, references in this report to “Esperion” the “Company,” “we,” “us,” and “our” refer to Esperion Therapeutics,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Esperion is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 -density lipoprotein cholesterol, or LDL-C. Through commercial execution, international partnerships and collaborations, and advancement of our pre-clinical pipeline, we continue to evolve into a leading global biopharmaceutical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Our products were approved by the FDA, European Commission, or EC,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or Otsuka, our Japanese collaborator, announced that the primary endpoint of LDL-C reduction from baseline at Week 12 was achieved with statistical significance in the Phase 3 clinical trial in Japan for bempedoic acid as a treatment for hypercholesterolemia. Otsuka filed a New Drug Application, or NDA, in Japan in November 2024, with expected approval and National Health Insurance, or NHI, pricing in the second half of 2025. We filed supplemental NDAs for product approvals in Canada in November 2024 and our collaboration partners plan to file in Australia and Israel in the first half of 2025.</w:t>
      </w:r>
    </w:p>
    <w:p>
      <w:pPr>
        <w:spacing w:after="0" w:line="19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 xml:space="preserve">We completed a global cardiovascular outcomes trial, or CVOT, —known as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color w:val="auto"/>
        </w:rPr>
        <w:t xml:space="preserve">holesterol </w:t>
      </w:r>
      <w:r>
        <w:rPr>
          <w:rFonts w:ascii="Times New Roman" w:cs="Times New Roman" w:eastAsia="Times New Roman" w:hAnsi="Times New Roman"/>
          <w:sz w:val="17"/>
          <w:szCs w:val="17"/>
          <w:b w:val="1"/>
          <w:bCs w:val="1"/>
          <w:u w:val="single" w:color="auto"/>
          <w:color w:val="auto"/>
        </w:rPr>
        <w:t>L</w:t>
      </w:r>
      <w:r>
        <w:rPr>
          <w:rFonts w:ascii="Times New Roman" w:cs="Times New Roman" w:eastAsia="Times New Roman" w:hAnsi="Times New Roman"/>
          <w:sz w:val="17"/>
          <w:szCs w:val="17"/>
          <w:color w:val="auto"/>
        </w:rPr>
        <w:t>owering via B</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 xml:space="preserve">mpedoic Acid, an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7"/>
          <w:szCs w:val="17"/>
          <w:color w:val="auto"/>
        </w:rPr>
        <w:t xml:space="preserve">CL-inhibiting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egimen (CLEAR) Outcomes. The trial was designed to evaluate whether treatment with bempedoic acid reduced the risk of cardiovascular events in adult patients who are statin averse and who have CVD or are at high risk for CVD. 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to demonstrate the ability to lower hard ischemic events, not only in those with atherosclerotic cardiovascular disease, or ASCVD, but also in the large number of primary prevention patients for whom limited therapies exist.</w:t>
      </w:r>
    </w:p>
    <w:p>
      <w:pPr>
        <w:spacing w:after="0" w:line="204"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7"/>
          <w:szCs w:val="17"/>
          <w:color w:val="auto"/>
        </w:rPr>
        <w:t>On March 22, 2024, we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w:t>
      </w:r>
    </w:p>
    <w:p>
      <w:pPr>
        <w:spacing w:after="0" w:line="19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On May 22, 2024, we announced that the EC approved the label update of both NILEMDO and NUSTENDI as treatments for hypercholesterolemia and to reduce the risk of adverse cardiovascular events. The EC’s decisions to update the labels of 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ASCVD.</w:t>
      </w:r>
    </w:p>
    <w:p>
      <w:pPr>
        <w:spacing w:after="0" w:line="174"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7"/>
          <w:szCs w:val="17"/>
          <w:color w:val="auto"/>
        </w:rPr>
        <w:t>On June 27, 2024, we entered into a Royalty Purchase Agreement, or the Purchase Agreement, with OCM IP Healthcare Portfolio LP, or OMERS, a limited partnership formed under the laws of the Province of Ontario, Canada, or the Purchaser. Pursuant to the Purchase Agreement, we sold to the Purchaser, and the Purchaser purchased for approximately $304.7 million,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7"/>
          <w:szCs w:val="17"/>
          <w:color w:val="auto"/>
        </w:rPr>
        <w:t>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or DSE, and the Company, as amended, or the License and Collaboration Agreement and such royalties being the Royalty Interests).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approximately $517.9 million). Following receipt of such amount, 100% of all Royalty Interests will revert to us. The Purchase Agreement contains other customary terms and conditions, including representations and warranties, covenants and indemnification obligations in favor of each party.</w:t>
      </w:r>
    </w:p>
    <w:p>
      <w:pPr>
        <w:spacing w:after="0" w:line="191"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17"/>
          <w:szCs w:val="17"/>
          <w:color w:val="auto"/>
        </w:rPr>
        <w:t>On June 27, 2024, we repurchased Revenue Interests outstanding under the Revenue Interest Purchase Agreement, or the RIPA, dated effective as of June 26, 2019, as amended, by and among the Company, the purchasers party thereto, or the Purchasers, and Eiger III SA LLC, or Oberland, as the collateral agent and administrative agent, or the Purchaser Agent, and satisfied all other Obligations (as defined in the RIPA) owed to the Purchasers and the Purchaser Agent by</w:t>
      </w:r>
    </w:p>
    <w:p>
      <w:pPr>
        <w:spacing w:after="0" w:line="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7"/>
          <w:szCs w:val="17"/>
          <w:color w:val="auto"/>
        </w:rPr>
        <w:t>paying to the Purchaser Agent, for the benefit of the Purchasers, a payment in cash of $343,750,000, or 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19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7"/>
          <w:szCs w:val="17"/>
          <w:color w:val="auto"/>
        </w:rPr>
        <w:t>On December 13, 2024, we entered into a credit agreement, or Credit Agreement, with GLAS USA LLC, as administrative agent, and Athyrium Opportunities IV Co-Invest 1 LP, HCR Stafford Fund II, L.P., HCR Potomac Fund II, L.P. and HCRX Investments HoldCo, L.P. The Credit Agreement provides for a $150.0 million term loan, or the Loan, which was borrowed in full at closing. Proceeds from the Loan were used repay a portion of the outstanding obligations under our existing $265.0 million aggregate principal amount 4.00% Convertible Senior Subordinated Notes due November 2025, or the 2025 Notes, and to pay fees and expenses in connection with the Credit Agreement.</w:t>
      </w:r>
    </w:p>
    <w:p>
      <w:pPr>
        <w:spacing w:after="0" w:line="19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7"/>
          <w:szCs w:val="17"/>
          <w:color w:val="auto"/>
        </w:rPr>
        <w:t>On December 17, 2024, we entered into privately negotiated exchange and subscription agreements, or the Agreements, with certain holders of our outstanding 2025 Notes. Pursuant to the Agreements, we issued $100.0 million aggregate principal amount of our 5.75% Convertible Senior Subordinated Notes due 2030, or the 2030 Notes. consisting of (a) approximately $57.5 million principal amount of 2030 Notes, along with approximately $153.4 million in cash, including accrued interest, issued in exchange for approximately $210.1 million principal amount of the 2025 Notes, or the Exchange Transaction, and (b) approximately $42.5 million principal amount of 2030 Notes for cash.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are focused on discovering, developing, and commercializing innovative medicines to help improve outcomes for patients. Our strategy for accomplishing this includes the following:</w:t>
      </w:r>
    </w:p>
    <w:p>
      <w:pPr>
        <w:spacing w:after="0" w:line="199" w:lineRule="exact"/>
        <w:rPr>
          <w:sz w:val="20"/>
          <w:szCs w:val="20"/>
          <w:color w:val="auto"/>
        </w:rPr>
      </w:pPr>
    </w:p>
    <w:p>
      <w:pPr>
        <w:ind w:left="620" w:right="440" w:hanging="307"/>
        <w:spacing w:after="0" w:line="265"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Execution of our strategic commercialization plan in order to generate significant growth for our currently approved products. </w:t>
      </w:r>
      <w:r>
        <w:rPr>
          <w:rFonts w:ascii="Times New Roman" w:cs="Times New Roman" w:eastAsia="Times New Roman" w:hAnsi="Times New Roman"/>
          <w:sz w:val="17"/>
          <w:szCs w:val="17"/>
          <w:color w:val="auto"/>
        </w:rPr>
        <w:t>We expect our label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expansions and promotional efforts to unlock significant growth potential for NEXLETOL and NEXLIZET in the United States, with additional, commensurate growth potential in Europe and other territories driven by our partners efforts in those territories.</w:t>
      </w:r>
    </w:p>
    <w:p>
      <w:pPr>
        <w:spacing w:after="0" w:line="166" w:lineRule="exact"/>
        <w:rPr>
          <w:rFonts w:ascii="Times New Roman" w:cs="Times New Roman" w:eastAsia="Times New Roman" w:hAnsi="Times New Roman"/>
          <w:sz w:val="17"/>
          <w:szCs w:val="17"/>
          <w:color w:val="auto"/>
        </w:rPr>
      </w:pPr>
    </w:p>
    <w:p>
      <w:pPr>
        <w:ind w:left="620" w:hanging="307"/>
        <w:spacing w:after="0" w:line="27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to advance our preclinical pipeline. </w:t>
      </w:r>
      <w:r>
        <w:rPr>
          <w:rFonts w:ascii="Times New Roman" w:cs="Times New Roman" w:eastAsia="Times New Roman" w:hAnsi="Times New Roman"/>
          <w:sz w:val="17"/>
          <w:szCs w:val="17"/>
          <w:color w:val="auto"/>
        </w:rPr>
        <w:t>We are leveraging our existing research and development capabilities to advance and grow our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preclinical pipeline candidates, including next-generation ATP Citrate Lyase, or ACLY, inhibitors, which have potential for broad therapeutic application.</w:t>
      </w:r>
    </w:p>
    <w:p>
      <w:pPr>
        <w:spacing w:after="0" w:line="194" w:lineRule="exact"/>
        <w:rPr>
          <w:rFonts w:ascii="Times New Roman" w:cs="Times New Roman" w:eastAsia="Times New Roman" w:hAnsi="Times New Roman"/>
          <w:sz w:val="17"/>
          <w:szCs w:val="17"/>
          <w:color w:val="auto"/>
        </w:rPr>
      </w:pPr>
    </w:p>
    <w:p>
      <w:pPr>
        <w:ind w:left="620" w:right="360" w:hanging="307"/>
        <w:spacing w:after="0" w:line="224"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Broaden our company beyond the bempedoic acid franchise</w:t>
      </w:r>
      <w:r>
        <w:rPr>
          <w:rFonts w:ascii="Times New Roman" w:cs="Times New Roman" w:eastAsia="Times New Roman" w:hAnsi="Times New Roman"/>
          <w:sz w:val="17"/>
          <w:szCs w:val="17"/>
          <w:color w:val="auto"/>
        </w:rPr>
        <w:t>. We are engaging in business development activities to potentially leverage our existing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organization to help commercialize additional products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Overview</w:t>
      </w:r>
    </w:p>
    <w:p>
      <w:pPr>
        <w:spacing w:after="0" w:line="20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NEXLETOL is a first-in-class ACLY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unable to take statins and who had, or were at high risk for, CVD demonstrated on average a 20.0% placebo corrected LDL-C lowering, and a resulting 13% lower risk of major cardiovascular events versus placebo. NEXLETOL was approved by the FDA in February 2020 and received an expanded cardiovascular risk reduction indication from the FDA in March 2024.</w:t>
      </w:r>
    </w:p>
    <w:p>
      <w:pPr>
        <w:spacing w:after="0" w:line="17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spacing w:after="0" w:line="1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Mechanism of Action</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xml:space="preserve">In November 2016, we announced the publication of “Liver-specific ACLY inhibition by bempedoic acid decreases LDL-C and attenuates atherosclerosis,” by Pinkosky et al., in </w:t>
      </w:r>
      <w:r>
        <w:rPr>
          <w:rFonts w:ascii="Times New Roman" w:cs="Times New Roman" w:eastAsia="Times New Roman" w:hAnsi="Times New Roman"/>
          <w:sz w:val="17"/>
          <w:szCs w:val="17"/>
          <w:i w:val="1"/>
          <w:iCs w:val="1"/>
          <w:color w:val="auto"/>
        </w:rPr>
        <w:t>Nature Communications</w:t>
      </w:r>
      <w:r>
        <w:rPr>
          <w:rFonts w:ascii="Times New Roman" w:cs="Times New Roman" w:eastAsia="Times New Roman" w:hAnsi="Times New Roman"/>
          <w:sz w:val="17"/>
          <w:szCs w:val="17"/>
          <w:color w:val="auto"/>
        </w:rPr>
        <w:t>. The paper outlines the experiments and analyses undertaken by us and our collaborators to understand the mechanism of action for how bempedoic acid reduces LDL-C, including its specificity for the liver. Bempedoic acid is an ACLY inhibitor that lowers LDL-C by inhibition of cholesterol synthesis in the liver. ACLY is an enzyme upstream of 3-hydroxy-3-methyl-glutaryl-coenzyme A, or HMG-CoA, reductase in the cholesterol biosynthesis pathway. Bempedoic acid and its active metabolite, ESP15228, require coenzyme A, or CoA, activation by very long-chain acyl-CoA synthetase 1, or ACSVL1, to ETC-1002-CoA and ESP15228-CoA, respectively. ACSVL1 is expressed primarily in the liver. Inhibition of ACL by ETC-1002-CoA results in decreased cholesterol synthesis in the liver and lowers LDL-C in blood via upregulation of low-density lipoprotein receptors.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Cardiovascular Outcomes Trial—CLEAR Outcomes</w:t>
      </w:r>
    </w:p>
    <w:p>
      <w:pPr>
        <w:spacing w:after="0" w:line="24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CLEAR Outcomes was a Phase 3 clinical study designed to evaluate if treatment with bempedoic acid reduces the risk of cardiovascular events in patients with statin intolerance who have CVD or are at high risk for CVD. We initiated CLEAR Outcomes in December 2016 and completed enrollment in August 2019. The primary endpoint of the study was the effect of bempedoic acid on the four-component MACE (cardiovascular death, non-fatal myocardial infarction, non-fatal stroke, or coronary revascularization.</w:t>
      </w:r>
    </w:p>
    <w:p>
      <w:pPr>
        <w:spacing w:after="0" w:line="19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study included nearly 14,000 patients from over 1,200 sites in 32 countries. Eligible patients at high risk for ASCVD (primary prevention) or with established ASCVD (secondary prevention), who were unable to take recommended statin therapy (including those not taking a statin), and with LDL-C ≥100 mg/dL, were randomized to receive bempedoic acid 180 mg once-daily by mouth or matching placebo. The median duration of follow-up was 3.4 years. The average LDL-C level at the start of the study was 139 mg/dL.</w:t>
      </w:r>
    </w:p>
    <w:p>
      <w:pPr>
        <w:spacing w:after="0" w:line="19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 xml:space="preserve">On December 7, 2022, we announced that the study had met its primary endpoint. On March 4, 2023, we announced the full results from the CLEAR Outcomes trial at the Scientific Sessions of the American College of Cardiology with a simultaneous publication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The study showed that bempedoic acid demonstrated a significant 13% cardiovascular risk reduction in MACE-4 events and significantly reduced the risk of heart attack by 23% and coronary revascularization by 19% as compared to placebo. These results were seen in a broad population of primary and</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secondary prevention patients who are unable to take recommended statin therapy. Furthermore, in several key prespecified subgroups, including females, persons of Hispanic ethnicity, and those with obesity, the beneficial effects observed with bempedoic acid are consistent. The proportions of patients experiencing adverse events and serious adverse events were similar between the active bempedoic acid and placebo treatment groups. Adverse events led to discontinuation of treatment in 11% of patients on bempedoic acid compared to 10% of patients on placebo. Adverse events occurring in greater than 2% of the study population and at least 0.5% more than placebo included hyperuricemia (8%), renal impairment (9%), anemia (4%), elevated liver enzymes (3%), muscle spasms (3%), gout</w:t>
      </w:r>
    </w:p>
    <w:p>
      <w:pPr>
        <w:spacing w:after="0" w:line="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(2%), and cholelithiasis (1%). Bempedoic acid, contained in NEXLETOL® and NEXLIZET® (bempedoic acid and ezetimibe) tablets, became the first LDL-C lowering therapy since statins to demonstrate the ability to lower MACE in both primary and secondary prevention patients for whom limited therapies exist. When evaluating these results in the context of prior statin trials (based on the Cholesterol Treatment Trialists’, “CTT”, meta-analyses), when normalized to a 1.0 mmol/L (39 mg/dL) LDL-C reduction, the CV risk reduction with bempedoic acid shown via the CTT major vascular event endpoint is comparable to the normalized risk reduction observed with statin therapies.</w:t>
      </w:r>
    </w:p>
    <w:p>
      <w:pPr>
        <w:spacing w:after="0" w:line="203"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7"/>
          <w:szCs w:val="17"/>
          <w:color w:val="auto"/>
        </w:rPr>
        <w:t xml:space="preserve">On June 23, 2023, a prespecified analysis of the primary prevention population (30% of CLEAR Outcomes trial participants) was presented at the American Diabetes Association Scientific Sessions and simultaneously published in </w:t>
      </w:r>
      <w:r>
        <w:rPr>
          <w:rFonts w:ascii="Times New Roman" w:cs="Times New Roman" w:eastAsia="Times New Roman" w:hAnsi="Times New Roman"/>
          <w:sz w:val="17"/>
          <w:szCs w:val="17"/>
          <w:i w:val="1"/>
          <w:iCs w:val="1"/>
          <w:color w:val="auto"/>
        </w:rPr>
        <w:t>JAMA</w:t>
      </w:r>
      <w:r>
        <w:rPr>
          <w:rFonts w:ascii="Times New Roman" w:cs="Times New Roman" w:eastAsia="Times New Roman" w:hAnsi="Times New Roman"/>
          <w:sz w:val="17"/>
          <w:szCs w:val="17"/>
          <w:color w:val="auto"/>
        </w:rPr>
        <w:t xml:space="preserve"> (Journal of the American Medical Association). Results from this primary prevention analysis show a significant 30% reduction in cardiovascular risk in the primary prevention population making bempedoic acid the first LDL-C lowering therapy since statins to demonstrate cardiovascular risk reduction in a primary prevention population.</w:t>
      </w:r>
    </w:p>
    <w:p>
      <w:pPr>
        <w:spacing w:after="0" w:line="19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 xml:space="preserve">On August 26, 2023, a prespecified analysis of the total number of cardiovascular events in the CLEAR Outcomes trial population was presented at the European Society of Cardiology and subsequently published in </w:t>
      </w:r>
      <w:r>
        <w:rPr>
          <w:rFonts w:ascii="Times New Roman" w:cs="Times New Roman" w:eastAsia="Times New Roman" w:hAnsi="Times New Roman"/>
          <w:sz w:val="17"/>
          <w:szCs w:val="17"/>
          <w:i w:val="1"/>
          <w:iCs w:val="1"/>
          <w:color w:val="auto"/>
        </w:rPr>
        <w:t>JAMA Cardiology</w:t>
      </w:r>
      <w:r>
        <w:rPr>
          <w:rFonts w:ascii="Times New Roman" w:cs="Times New Roman" w:eastAsia="Times New Roman" w:hAnsi="Times New Roman"/>
          <w:sz w:val="17"/>
          <w:szCs w:val="17"/>
          <w:color w:val="auto"/>
        </w:rPr>
        <w:t>. The results reflect the impact of bempedoic acid on the total incidence of MACE, not just the first event. Treatment with bempedoic acid was associated with a risk reduction of 20% in total MACE-4 events (composite of MACE including non-fatal myocardial infarction, non-fatal stroke, coronary revascularization and cardiovascular death), 17% in total MACE-3 events (composite of MACE including non-fatal myocardial infarction, non-fatal stroke and cardiovascular death), 31% in total myocardial infarctions, and 22% in total coronary revascularizations. We believe these data reinforce the benefit of lowering LDL-C with bempedoic acid in high-risk patients, potentially preventing multiple events over time.</w:t>
      </w:r>
    </w:p>
    <w:p>
      <w:pPr>
        <w:spacing w:after="0" w:line="2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 xml:space="preserve">On August 26, 2023, a prespecified analysis of the CLEAR Outcomes trial population by patient diabetes status at enrollment (e.g., diabetes, prediabetes, normoglycemic) was presented at the European Society of Cardiology and subsequently published in </w:t>
      </w:r>
      <w:r>
        <w:rPr>
          <w:rFonts w:ascii="Times New Roman" w:cs="Times New Roman" w:eastAsia="Times New Roman" w:hAnsi="Times New Roman"/>
          <w:sz w:val="17"/>
          <w:szCs w:val="17"/>
          <w:i w:val="1"/>
          <w:iCs w:val="1"/>
          <w:color w:val="auto"/>
        </w:rPr>
        <w:t>The Lancet Diabetes and Endocrinology</w:t>
      </w:r>
      <w:r>
        <w:rPr>
          <w:rFonts w:ascii="Times New Roman" w:cs="Times New Roman" w:eastAsia="Times New Roman" w:hAnsi="Times New Roman"/>
          <w:sz w:val="17"/>
          <w:szCs w:val="17"/>
          <w:color w:val="auto"/>
        </w:rPr>
        <w:t>. Of the 13,970 patients included in CLEAR Outcomes, 45.6% had diabetes, 41.5% had pre-diabetes, and 12.9% were normoglycemic. Bempedoic acid demonstrated a benefit in patients with diabetes at baseline, showing a 17% reduction in cardiovascular risk. For patients without diabetes at enrollment, bempedoic acid use was not associated with an increased risk of new onset diabetes compared with placebo, which is a key differentiating feature compared to statins.</w:t>
      </w:r>
    </w:p>
    <w:p>
      <w:pPr>
        <w:spacing w:after="0" w:line="19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Along with the reduction in LDL-C seen with bempedoic acid in CLEAR Outcomes, bempedoic acid also reduced a key marker of inflammation, high sensitivity C-reactive protein (hsCRP), by nearly 22% compared to placebo. An analysis of hsCRP in CLEAR Outcomes was presented at the 2023 American Heart Association Scientific Session which showed a relationship between elevated levels of hsCRP and risks for cardiovascular events. Longer term inflammatory risk can also be assessed via red blood cell distribution width (RDW), which like hsCRP, is correlated to risk of cardiovascular events. Patients randomized to bempedoic acid exhibited lower RDW values over the course of CLEAR Outcomes compared with placebo. These data were presented at the European Society of Cardiology Congress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Safety Profil</w:t>
      </w:r>
      <w:r>
        <w:rPr>
          <w:rFonts w:ascii="Times New Roman" w:cs="Times New Roman" w:eastAsia="Times New Roman" w:hAnsi="Times New Roman"/>
          <w:sz w:val="17"/>
          <w:szCs w:val="17"/>
          <w:color w:val="auto"/>
        </w:rPr>
        <w:t>e</w:t>
      </w:r>
    </w:p>
    <w:p>
      <w:pPr>
        <w:spacing w:after="0" w:line="24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 xml:space="preserve">The long-term safety profile of bempedoic acid from CLEAR Outcomes is reported in a 2024 publication in </w:t>
      </w:r>
      <w:r>
        <w:rPr>
          <w:rFonts w:ascii="Times New Roman" w:cs="Times New Roman" w:eastAsia="Times New Roman" w:hAnsi="Times New Roman"/>
          <w:sz w:val="17"/>
          <w:szCs w:val="17"/>
          <w:i w:val="1"/>
          <w:iCs w:val="1"/>
          <w:color w:val="auto"/>
        </w:rPr>
        <w:t>Journal of Clinical Lipidology</w:t>
      </w:r>
      <w:r>
        <w:rPr>
          <w:rFonts w:ascii="Times New Roman" w:cs="Times New Roman" w:eastAsia="Times New Roman" w:hAnsi="Times New Roman"/>
          <w:sz w:val="17"/>
          <w:szCs w:val="17"/>
          <w:color w:val="auto"/>
        </w:rPr>
        <w:t>, reflecting safety data over the median 3.4 years follow up. Bempedoic acid was generally well tolerated compared to placebo, reinforcing the positive risk to benefit profile of bempedoic acid. Importantly, select adverse events of concern were observed with similar incidences between bempedoic acid and placebo, including tendon rupture/tendinopathies, renal failure/acute kidney injury, new onset diabetes, and myalgia (muscle pain).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Next Generation ACLY inhibitors</w:t>
      </w:r>
    </w:p>
    <w:p>
      <w:pPr>
        <w:spacing w:after="0" w:line="23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ACLY is an enzyme strategically positioned at the intersection of nutrient catabolism and cholesterol and fatty acid biosynthesis. We are leading the investigation of ACLY biology, having brought the first ACLY inhibitor to the market. While preclinical studies and Mendelian randomized trials support a causal role for ACLY in dyslipidemia and ASCVD, they also</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suggest potential additional effects on metabolism that may benefit other disease states such as type 2 diabetes and metabolic dysfunction-associated steatotic liver disease (MASLD)/metabolic associated steatohepatitis (MASH). Furthermore, emerging evidence implicates ACLY as a key metabolic checkpoint utilized by multiple cell types to sense nutrient availability and coordinate metabolic adaptations with cell-specific functions. This expanded understanding has provided key insight into novel connections between chronic positive energy balance and aberrant metabolism and the maladaptation of multiple inflammatory, immune, fibrotic, extra-cellular matrix remodeling, and proliferative processes. Our scientific team is exploring this novel insight into ACLY biology. Along with the implementation of leading-edge discovery technology and data science approaches, we aim to reveal new therapeutic opportunities and develop next-generation inhibitors optimized to address multiple life-threatening diseases.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Cardiovascular Disease and Elevated LDL-C</w:t>
      </w:r>
    </w:p>
    <w:p>
      <w:pPr>
        <w:spacing w:after="0" w:line="22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ASCVD is a chronic, progressive disease; the presence of increasing LDL-C is causal in the development of ASCVD and plays a central role in the multifactorial disease process of lipid accumulation and systemic inflammation. ASCVD is the underlying cause of many major CV events including myocardial infarction, or MI, and ischemic stroke. In practice, ASCVD can include a spectrum of diagnoses, including acute events such as MI or stroke, coronary revascularization procedures, as well as conditions such as peripheral artery disease, or PAD, coronary artery disease, or CAD, or angina.</w:t>
      </w:r>
    </w:p>
    <w:p>
      <w:pPr>
        <w:spacing w:after="0" w:line="17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Extensive evidence has shown that LDL-C is a major modifiable risk factor for ASCVD. Studies further suggest that the causal effect of LDL-C on the risk of ASCVD is determined by both the degree and length of time LDL-C is elevated. The relationship between LDL-C levels and ASCVD risk has important implications, including:</w:t>
      </w:r>
    </w:p>
    <w:p>
      <w:pPr>
        <w:spacing w:after="0" w:line="167" w:lineRule="exact"/>
        <w:rPr>
          <w:sz w:val="20"/>
          <w:szCs w:val="20"/>
          <w:color w:val="auto"/>
        </w:rPr>
      </w:pPr>
    </w:p>
    <w:p>
      <w:pPr>
        <w:ind w:left="420" w:hanging="107"/>
        <w:spacing w:after="0"/>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LDL-C level attained using therapies that target LDL receptors yield greater clinical benefit in CV risk reduction than therapies that do not;</w:t>
      </w:r>
    </w:p>
    <w:p>
      <w:pPr>
        <w:spacing w:after="0" w:line="217"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41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generally straight-line relationship between absolute reductions in LDL-C and reductions in the incidence of major vascular events (e.g., lower LDL-C is related to proportionally lower event rates);</w:t>
      </w:r>
    </w:p>
    <w:p>
      <w:pPr>
        <w:spacing w:after="0" w:line="151" w:lineRule="exact"/>
        <w:rPr>
          <w:rFonts w:ascii="Times New Roman" w:cs="Times New Roman" w:eastAsia="Times New Roman" w:hAnsi="Times New Roman"/>
          <w:sz w:val="17"/>
          <w:szCs w:val="17"/>
          <w:color w:val="auto"/>
        </w:rPr>
      </w:pPr>
    </w:p>
    <w:p>
      <w:pPr>
        <w:ind w:left="420" w:hanging="107"/>
        <w:spacing w:after="0"/>
        <w:tabs>
          <w:tab w:leader="none" w:pos="4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LDL-C burden is a determinant of when ASCVD starts and/or gets worse; and</w:t>
      </w:r>
    </w:p>
    <w:p>
      <w:pPr>
        <w:spacing w:after="0" w:line="21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41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Lowering LDL-C levels in patients with high CV risk earlier (rather than later) is recommended, especially for patients with familial hypercholesterolemia (FH).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Blood Cholesterol Guidelines</w:t>
      </w:r>
    </w:p>
    <w:p>
      <w:pPr>
        <w:spacing w:after="0" w:line="20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LDL-C is currently the focus of healthcare provider efforts to improve the cholesterol profile in individuals at risk for or with established ASCVD. Evidence overwhelmingly shows that cardiovascular risk reduction is correlated to the magnitude of LDL-C reduction, and that lowering LDL-C levels earlier (rather than later) is recommended, especially for patients with FH. Over the past 20 years since the inception of lipid targets in the NCEP ATP III (National Cholesterol Education Program Adult Treatment Panel III), guidelines have evolved to include continually lower LDL-C treatment targets in patients with established ASCVD.</w:t>
      </w:r>
    </w:p>
    <w:p>
      <w:pPr>
        <w:spacing w:after="0" w:line="174"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 goal of treatment with intensive lipid-lowering strategies is to prevent subsequent CV events in patients with established ASCVD (secondary prevention) as well as to prevent the first CV event from occurring in patients who may be at high-risk for ASCVD (primary prevention).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Opportunity for Bempedoic Acid and the Bempedoic Acid / Ezetimibe Combination Tablet</w:t>
      </w:r>
    </w:p>
    <w:p>
      <w:pPr>
        <w:spacing w:after="0" w:line="2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Overall, 71 million adults in the US are at high risk of CVD and eligible for statin therapy according to the AHA/ACC guidelines. The estimated US prevalence of risk groups based on NHANES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7280" w:type="dxa"/>
            <w:vAlign w:val="bottom"/>
          </w:tcPr>
          <w:p>
            <w:pPr>
              <w:ind w:left="3700"/>
              <w:spacing w:after="0"/>
              <w:rPr>
                <w:sz w:val="20"/>
                <w:szCs w:val="20"/>
                <w:color w:val="auto"/>
              </w:rPr>
            </w:pPr>
            <w:r>
              <w:rPr>
                <w:rFonts w:ascii="Times New Roman" w:cs="Times New Roman" w:eastAsia="Times New Roman" w:hAnsi="Times New Roman"/>
                <w:sz w:val="17"/>
                <w:szCs w:val="17"/>
                <w:color w:val="auto"/>
              </w:rPr>
              <w:t>US Prevalence Estimates by Statin-Eligible Groups</w:t>
            </w:r>
          </w:p>
        </w:tc>
        <w:tc>
          <w:tcPr>
            <w:tcW w:w="3660" w:type="dxa"/>
            <w:vAlign w:val="bottom"/>
          </w:tcPr>
          <w:p>
            <w:pPr>
              <w:spacing w:after="0"/>
              <w:rPr>
                <w:sz w:val="19"/>
                <w:szCs w:val="19"/>
                <w:color w:val="auto"/>
              </w:rPr>
            </w:pPr>
          </w:p>
        </w:tc>
      </w:tr>
      <w:tr>
        <w:trPr>
          <w:trHeight w:val="232"/>
        </w:trPr>
        <w:tc>
          <w:tcPr>
            <w:tcW w:w="72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4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Patient Subgroup</w:t>
            </w: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Prevalence (in Millions)</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ASCVD and age ≥21 years</w:t>
            </w:r>
          </w:p>
        </w:tc>
        <w:tc>
          <w:tcPr>
            <w:tcW w:w="3660" w:type="dxa"/>
            <w:vAlign w:val="bottom"/>
          </w:tcPr>
          <w:p>
            <w:pPr>
              <w:jc w:val="center"/>
              <w:ind w:right="994"/>
              <w:spacing w:after="0"/>
              <w:rPr>
                <w:sz w:val="20"/>
                <w:szCs w:val="20"/>
                <w:color w:val="auto"/>
              </w:rPr>
            </w:pPr>
            <w:r>
              <w:rPr>
                <w:rFonts w:ascii="Times New Roman" w:cs="Times New Roman" w:eastAsia="Times New Roman" w:hAnsi="Times New Roman"/>
                <w:sz w:val="17"/>
                <w:szCs w:val="17"/>
                <w:color w:val="auto"/>
              </w:rPr>
              <w:t>24.6</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5"/>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LDL-C ≥190 mg/dL</w:t>
            </w:r>
          </w:p>
        </w:tc>
        <w:tc>
          <w:tcPr>
            <w:tcW w:w="3660" w:type="dxa"/>
            <w:vAlign w:val="bottom"/>
            <w:tcBorders>
              <w:bottom w:val="single" w:sz="8" w:color="CCEEFF"/>
            </w:tcBorders>
            <w:shd w:val="clear" w:color="auto" w:fill="CCEEFF"/>
          </w:tcPr>
          <w:p>
            <w:pPr>
              <w:jc w:val="center"/>
              <w:ind w:right="974"/>
              <w:spacing w:after="0"/>
              <w:rPr>
                <w:sz w:val="20"/>
                <w:szCs w:val="20"/>
                <w:color w:val="auto"/>
              </w:rPr>
            </w:pPr>
            <w:r>
              <w:rPr>
                <w:rFonts w:ascii="Times New Roman" w:cs="Times New Roman" w:eastAsia="Times New Roman" w:hAnsi="Times New Roman"/>
                <w:sz w:val="17"/>
                <w:szCs w:val="17"/>
                <w:color w:val="auto"/>
                <w:w w:val="93"/>
              </w:rPr>
              <w:t>2.3</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Diabetes mellitus (DM), age 40–75 years</w:t>
            </w:r>
          </w:p>
        </w:tc>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7"/>
                <w:szCs w:val="17"/>
                <w:color w:val="auto"/>
                <w:w w:val="93"/>
              </w:rPr>
              <w:t>15</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5"/>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ASCVD risk ≥20%</w:t>
            </w:r>
          </w:p>
        </w:tc>
        <w:tc>
          <w:tcPr>
            <w:tcW w:w="3660" w:type="dxa"/>
            <w:vAlign w:val="bottom"/>
            <w:tcBorders>
              <w:bottom w:val="single" w:sz="8" w:color="CCEEFF"/>
            </w:tcBorders>
            <w:shd w:val="clear" w:color="auto" w:fill="CCEEFF"/>
          </w:tcPr>
          <w:p>
            <w:pPr>
              <w:jc w:val="center"/>
              <w:ind w:right="974"/>
              <w:spacing w:after="0"/>
              <w:rPr>
                <w:sz w:val="20"/>
                <w:szCs w:val="20"/>
                <w:color w:val="auto"/>
              </w:rPr>
            </w:pPr>
            <w:r>
              <w:rPr>
                <w:rFonts w:ascii="Times New Roman" w:cs="Times New Roman" w:eastAsia="Times New Roman" w:hAnsi="Times New Roman"/>
                <w:sz w:val="17"/>
                <w:szCs w:val="17"/>
                <w:color w:val="auto"/>
                <w:w w:val="93"/>
              </w:rPr>
              <w:t>9.4</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Intermediate ASCVD (≥7.5% to &lt;20%) risk and ≥1 risk enhancer(s)</w:t>
            </w:r>
          </w:p>
        </w:tc>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7"/>
                <w:szCs w:val="17"/>
                <w:color w:val="auto"/>
                <w:w w:val="93"/>
              </w:rPr>
              <w:t>20</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660" w:type="dxa"/>
            <w:vAlign w:val="bottom"/>
            <w:shd w:val="clear" w:color="auto" w:fill="CCEEFF"/>
          </w:tcPr>
          <w:p>
            <w:pPr>
              <w:jc w:val="center"/>
              <w:ind w:right="994"/>
              <w:spacing w:after="0"/>
              <w:rPr>
                <w:sz w:val="20"/>
                <w:szCs w:val="20"/>
                <w:color w:val="auto"/>
              </w:rPr>
            </w:pPr>
            <w:r>
              <w:rPr>
                <w:rFonts w:ascii="Times New Roman" w:cs="Times New Roman" w:eastAsia="Times New Roman" w:hAnsi="Times New Roman"/>
                <w:sz w:val="17"/>
                <w:szCs w:val="17"/>
                <w:color w:val="auto"/>
              </w:rPr>
              <w:t>71.3</w:t>
            </w:r>
          </w:p>
        </w:tc>
      </w:tr>
      <w:tr>
        <w:trPr>
          <w:trHeight w:val="22"/>
        </w:trPr>
        <w:tc>
          <w:tcPr>
            <w:tcW w:w="72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with HeFH or established ASCVD who require additional lowering of LDL-C</w:t>
      </w:r>
    </w:p>
    <w:p>
      <w:pPr>
        <w:spacing w:after="0" w:line="22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We initially developed bempedoic acid and the bempedoic acid /ezetimibe combination tablet as an adjunct to diet and statin therapy for patients with HeFH and/or ASCVD who require additional lowering of LDL-C. We further developed bempedoic acid as a treatment to reduce cardiovascular risk for patients with HeFH and/or ASCVD. The severity of elevated LDL-C in these patients, their level of cardiovascular disease risk and their therapeutic options vary widely.</w:t>
      </w:r>
    </w:p>
    <w:p>
      <w:pPr>
        <w:spacing w:after="0" w:line="16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Despite the prevalence of statins, many patients with ASCVD are still not achieving their LDL-C goals and need additional LDL-C lowering beyond that achieved with statin monotherapy. It is estimated that approximately 10 million patients with ASCVD in the United States currently taking statins require additional LDL-C lowering. Approximately 60% to 70% of patients receiving statins do not meet their LDL-C goals, and estimates are worse among high CV risk groups, such as adults with severe hypercholesterolemia (98%) or ASCVD (80%).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at High Risk of Developing ASCVD (Primary Prevention)</w:t>
      </w:r>
    </w:p>
    <w:p>
      <w:pPr>
        <w:spacing w:after="0" w:line="2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Difficulty in achieving guideline recommended LDL-C goals is not limited to the established ASCVD population. Several recent estimates indicate that there may be up to 15 million US adults currently on statin medications for primary prevention who are not at goal and need treatment optimization, either via statin intensification or additional therapies.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Untreated Patients</w:t>
      </w:r>
    </w:p>
    <w:p>
      <w:pPr>
        <w:spacing w:after="0" w:line="22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Due to a myriad of reasons, as many as 40 million adults in the US with ASCVD or at high-risk for ASCVD remain untreated with statins. This gap in care represents an important public health opportunity.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Unable or Unwilling to Take Guideline Recommended Doses of Statins</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Muscle pain and weakness are the most common side effects experienced by statin users and the most common causes for discontinuing therapy. Approximately 7-29% of patients on statins report statin intolerance, and of those, the majority cite statin-associated muscle symptoms, or SAMS, as the cause, while others report laboratory changes, or other non-muscle adverse symptoms independently or in addition to SAMS. Presence of statin intolerance, regardless of the cause, is associated with suboptimal achievement of recommended lipid levels and an increased risk of first and recurrent MACE. In fact, a significant proportion of patients remain on statin therapy despite experiencing muscle-related side effects and require additional LDL-C lowering therapies to help them achieve their LDL-C treatment goals. Accordingly, we believe that in the presence of an oral, once-daily, non-statin LDL-C and cardiovascular risk lowering therapy, the statin intolerant market could grow substantially. According to our research, approximately 5.7 million patients in the United States are not on statins, need additional LDL-C lowering, and it is estimated that many are only able to tolerate less than the lowest approved daily starting dose of their statin and are therefore considered to be statin intolerant.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Approved LDL-C Lowering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Statin Therapy</w:t>
      </w:r>
    </w:p>
    <w:p>
      <w:pPr>
        <w:spacing w:after="0" w:line="224"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Statins are the standard of care for patients with hypercholesterolemia today and are highly effective at lowering LDL-C. This class of drugs includes atorvastatin calcium, marketed as Lipitor®, the most prescribed LDL-C lowering drug in the world.</w:t>
      </w:r>
    </w:p>
    <w:p>
      <w:pPr>
        <w:spacing w:after="0" w:line="15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Statins are selective, competitive inhibitors of HMG-CoA reductase, a rate-limiting enzyme in the cholesterol biosynthesis pathway in liver cells. Statin inhibition of cholesterol synthesis increases the number of LDL receptors on the surface of liver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cells. This increase in LDL receptors increases uptake of LDL particles into liver cells from the blood, thus lowering LDL-C levels. The exact mechanism of SAMS is unclear, but a few hypotheses have been proposed. These include, but are not limited to: mechanistic effects on the HMG-CoA pathway, direct cellular effects on the mitochondria, genetic factors, and structural effects of statins on skeletal muscle. These effects may be linked to myalgia, potentially leading to statin intolerance.</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benefits of statin use in lowering LDL-C levels and improving cardiovascular outcomes are well documented. However, statins alone are not enough to optimize LDL-C and prevent CVD. Despite the effectiveness of statins and their broad market acceptance &gt;50% of high-risk patients are not at their guideline-recommended LDL-C goal despite receiving high-intensity statin therapy, indicating the need for adjunct non-statin therapy. In addition, approximately 30% of US adults are unable to take recommended levels of statin doses due to statin intolerance. For these reasons, we believe there is a continued unmet need for oral, once-daily, non-statin medicines to treat patients with elevated LDL-C.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Ezetimibe</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Ezetimibe is a cholesterol absorption inhibitor that directly binds to NPC1L1 and prevents the transportation of dietary cholesterol from the gut lumen to intestinal enterocytes, resulting in decreased amounts of cholesterol delivered to the liver and an upregulation of hepatic LDL receptors. Ezetimibe also inhibits cholesterol absorption in the small intestine. Ezetimibe is indicated for monotherapy as an adjunctive therapy to diet for the reduction of elevated TC, LDL-C, Apo B, and non–HDL-C in patients with primary hyperlipidemia (HeFH and nonfamilial). It is also approved for combination therapy with a statin or fenofibrate. The standard dose of 10 mg/day lowers LDL-C by approximately 15% to 20% when used alone, in addition to the reduction achieved with statins. However, based on a retrospective real-world database study, it has been estimated that (depending on baseline LDL-C level) 70% or more of patients who switch to or add ezetimibe to statin therapy still require additional LDL-C lowering to achieve treatment goals (with therapeutic targets reached by only 30% of patients with baseline LDL-C levels of 70 to 99 mg/dL).</w:t>
      </w:r>
    </w:p>
    <w:p>
      <w:pPr>
        <w:spacing w:after="0" w:line="17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In November 2014, the results of the IMPROVE-IT (IMProved Reduction of Outcomes: Vytorin Efficacy International Trial) study were presented at the Scientific Sessions of the AHA. 18,144 patients with acute coronary syndrome were enrolled in IMPROVE-IT and were randomized to receive either 40 mg of simvastatin or 10 mg of ezetimibe/40 mg of simvastatin and were followed until &gt; 5,250 events (cardiovascular death, heart attack, documented unstable angina requiring hospitalization, coronary revascularization, or stroke) occurred. The addition of ezetimibe to simvastatin resulted in a 6.4% relative risk reduction (p=0.016) in the aggregate of the events described above. This was the first study to demonstrate incremental clinical benefit with a non-statin when added to a statin.</w:t>
      </w:r>
    </w:p>
    <w:p>
      <w:pPr>
        <w:spacing w:after="0" w:line="1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Ezetimibe has been found to be generally well tolerated, and the ACC ECDP recommends that ezetimibe be considered the first non-statin agent added when LDL-C goal is not met with high-intensity statin therapy and diet and lifestyle modifications. However, the use of ezetimibe is markedly low in the US; in the GOULD registry (Getting to an Improved Understanding of Low-Density Lipoprotein Cholesterol and Dyslipidemia Management; 2016-2018) of adults with ASCVD, only 6.8% of patients with LDL-C ≥100 mg/dL had ezetimibe added for LLT intensification. Similar data from NHANES (2015-2018) showed that only 5.1% and 1.9% of high-risk and very high-risk ASCVD patients were receiving a statin plus ezetimibe, despite 61% and 74% of these patients having LDL-C ≥70 mg/dL.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PCSK9 Inhibitors, Monoclonal Antibodies</w:t>
      </w: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PCSK9 inhibitors block an enzyme involved in the degradation of LDL receptors. PCSK9 inhibitors are injectable, monoclonal antibodies to lower LDL-C. As described in currently approved U.S. prescribing information, PCSK9 inhibitors have demonstrated reductions of LDL-C when added on to maximally tolerated statin therapy in patients with HeFH and/or ASCVD. In 2015, the FDA approved two PCSK9 inhibitors: alirocumab, which was developed by Sanofi and Regeneron Pharmaceuticals, and evolocumab, which was developed by Amgen, Inc. These therapies were originally approved as an adjunct to diet and maximally tolerated statin therapy for patients with HeFH and/or ASCVD that require additional lowering of LDL-C. Additionally, evolocumab was approved as an adjunct to diet and other LDL-C lowering therapies for patients with HoFH. In 2016, Pfizer discontinued development of its PCSK9 inhibitor, bococizumab, due to unanticipated attenuation of LDL-C lowering over time in its Phase 3 studies.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February 2017, Amgen announced top-line results for the FOURIER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urther Cardiovascular </w:t>
      </w:r>
      <w:r>
        <w:rPr>
          <w:rFonts w:ascii="Times New Roman" w:cs="Times New Roman" w:eastAsia="Times New Roman" w:hAnsi="Times New Roman"/>
          <w:sz w:val="17"/>
          <w:szCs w:val="17"/>
          <w:b w:val="1"/>
          <w:bCs w:val="1"/>
          <w:color w:val="auto"/>
        </w:rPr>
        <w:t>Ou</w:t>
      </w:r>
      <w:r>
        <w:rPr>
          <w:rFonts w:ascii="Times New Roman" w:cs="Times New Roman" w:eastAsia="Times New Roman" w:hAnsi="Times New Roman"/>
          <w:sz w:val="17"/>
          <w:szCs w:val="17"/>
          <w:color w:val="auto"/>
        </w:rPr>
        <w:t xml:space="preserve">tcomes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7"/>
          <w:szCs w:val="17"/>
          <w:color w:val="auto"/>
        </w:rPr>
        <w:t xml:space="preserve">esearch with PCSK9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nhibition in Subjects with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levated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7"/>
          <w:szCs w:val="17"/>
          <w:color w:val="auto"/>
        </w:rPr>
        <w:t>isk) CVOT where evolocumab demonstrated a statistically significant 15% reduction in the risk of cardiovascular events. Full results of FOURIER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were presented at the Scientific Sessions of the American College of Cardiology in March 2017 and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March 2017. The FOURIER study enrolled 27,564 patients with prior ASCVD and LDL-C levels &gt;70 mg/dl receiving background statin therapy. Patients were then blindly randomized to receive evolocumab or placebo and followed until at least 1630 key secondary endpoints (cardiovascular death, myocardial infarction, or stroke) occurred. In a patient population with a median baseline LDL-C level of 92 mg/dl, evolocumab reduced LDL-C by 59% as compared to placebo resulting in a 56 mg/dl absolute difference. This reduction in LDL-C translated to a 15% reduction in the primary endpoint, which was a composite of cardiovascular death, myocardial infarction, stroke, hospitalization for unstable angina, or coronary revascularization. In December 2017, based upon the results of the FOURIER study, the indications for the use of evolocumab were updated to include reduction in risk of myocardial infarction, stroke, and coronary revascularization in adults with established CVD, and for use alone or in combination with other lipid-lowering therapies to reduce LDL-C in adults with primary hyperlipidemia. In November 2024, evolocumab's USPI CV indications were updated to include the reduction of the risk of major adverse CV events (CV death, myocardial infarction, stroke, unstable angina requiring hospitalization, or coronary revascularization) in adults with established CVD.</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In March 2018, Regeneron Pharmaceuticals and Sanofi announced top-line results for the ODYSSEY Outcomes CVOT where alirocumab demonstrated a statistically significant 15% reduction in the risk of cardiovascular events. Full results of ODYSSEY Outcomes were presented at the Scientific Sessions of the ACC in March 2018 and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November 2018. The ODYSSEY Outcomes study enrolled 18,924 patients who had an acute coronary syndrome 1 to 12 months prior to study entry and LDL-C levels &gt;70 mg/dl on high-intensity statin treatment. Patients were blindly randomized to receive alirocumab or placebo and followed until at least 1,613 patients experienced a primary endpoint of death from coronary heart disease, nonfatal myocardial infarction, fatal or nonfatal ischemic stroke or unstable angina requiring hospitalization. From a mean baseline of 92 mg/dl, LDL-C levels were reduced by 62.7% as compared to placebo, to a mean of 38 mg/dl. This treatment resulted in a 15% relative risk reduction in the primary MACE endpoint. In April 2019, the FDA approved alirocumab to reduce the risk of heart attack, stroke, and unstable angina requiring hospitalization in adults with established CVD. On December 10, 2019, Regeneron Pharmaceuticals and Sanofi announced their intent to simplify their antibody collaboration for alirocumab by restructuring into a royalty-based agreement. Under the restructuring, which was effective April 2020, Regeneron has sole U.S. rights to alirocumab, and Sanofi has sole ex-U.S. rights to alirocumab.</w:t>
      </w:r>
    </w:p>
    <w:p>
      <w:pPr>
        <w:spacing w:after="0" w:line="38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In addition, evolocumab and alirocumab are indicated for use alone or in combination with other lipid-lowering agents for patients with primary hyperlipidemia, including familial and nonfamilial hypercholesterolemia. Notwithstanding the LDL-C lowering efficacy of PCSK9 inhibitors, we believe their adoption by patients, physicians, and payors could be adversely impacted by their higher cost, notwithstanding recent price reductions, substantial prior authorization processes, and their injectable route of administration.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PCSK9 inhibitors, small interfering ribonucleic acid (siRNA)</w:t>
      </w:r>
    </w:p>
    <w:p>
      <w:pPr>
        <w:spacing w:after="0" w:line="21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Novartis AG developed inclisiran and the NDA for inclisiran was submitted to the FDA in December 2019. Inclisiran (which is marketed in the U.S. as Leqvio®) received FDA approval on December 22, 2021. Unlike the PCSK9 antibodies from Regeneron Pharmaceuticals and Sanofi and Amgen, inclisiran is a long-acting RNA interference therapeutic agent that inhibits the synthesis of PCSK9. Findings from clinical studies suggest that inclisiran may be dosed every 6 months, with a 3-month timeframe only between the first and second dose. Like the PCSK9 antibodies, inclisiran is an injectable therapy that lowers LDL-C between 45% to 58% in Phase 3 clinical testing. In November 2019, Novartis AG acquired The Medicines Company. The Medicines Company initiated the ORION-4 trial in October 2018 which is designed to evaluate cardiovascular outcomes in 15,000 people being treated with inclisiran or placebo. Recruitment of ORION-4 was completed September 30, 2023. In November 2021, Novartis launched the VICTORION-2P trial to evaluate major cardiovascular outcomes in 17,004 patients with established CVD treated with inclisiran or placebo. VICTORION-2P is estimated to reach completion in the fourth quarter of 2027. Novartis subsequently initiated VICTORION-1P in March 2023. Similarly, VICTORION-1P aims to evaluate the incidence of MACE in patients treated with inclisiran or placebo; however, this trial has enrolled 14,013 patients without a prior major cardiovascular event and is estimated to reach conclusion in the second quarter of 2029. Inclisiran received an updated indication in July 2023 for use as an adjunct to diet and statin therapy for the treatment of adults with primary hyperlipidemia, including HeFH, to reduce LDL-C.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derive revenue through two primary sources: product sales and collaboration revenue. Product sales, net is related to our sales of NEXLETOL and NEXLIZET in the U.S. NEXLETOL and NEXLIZET were commercially available in the U.S. on March 30, 2020 and June 4, 2020, respectively. Collaboration revenue consists of the collaboration payments made to us under our collaboration arrangements outside of the U.S. for the development and commercialization of our product candidates by our partners. Collaboration revenue also includes royalty revenue and sales of bulk tablets of our products to our collaboration partners.</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During the year ended December 31, 2024, we recognized $115.7 million in net product sales of NEXLETOL and NEXLIZET and $216.6 million in collaboration revenue, primarily related to the settlement with DSE, or the DSE Settlement, a milestone from Otsuka upon first Japanese New Drug Application, or JNDA, submission in the Otsuka Territory, sales of bulk tablets under supply agreements and royalty revenue received from collaboration partners. During the year ended December 31, 2023, we recognized $78.3 million in net product sales of NEXLETOL and NEXLIZET and $38.0 million in collaboration revenue, primarily related to sales of bulk tablets under supply agreements and royalty revenue received from collaboration partners. During the year ended December 31, 2022, we recognized $55.9 million in net product sales of NEXLETOL and NEXLIZET and $19.6 million in collaboration revenue, primarily related to sales of bulk tablets under supply agreements and royalty revenue received from collaboration partners.</w:t>
      </w:r>
    </w:p>
    <w:p>
      <w:pPr>
        <w:spacing w:after="0" w:line="177"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If we fail to complete the development of bempedoic acid or the bempedoic acid / ezetimibe combination tablet in other territories outside the U.S. and Europe (including obtaining additional potential indications), or any other product candidates we may develop, our ability to generate future revenue and our results of operations and financial position may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2024, were $46.2 million, which was primarily related to clinical development costs relating to ongoing clinical studies and compensation related costs, including stock-based compensation. We expect research and development expenses to increase slightly in 2025 due to the start of our phase III pediatric trial and the continuing advancement of our preclinical pipeline.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w:t>
      </w:r>
    </w:p>
    <w:p>
      <w:pPr>
        <w:spacing w:after="0" w:line="22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established our commercialization and distribution capabilities with the commercial launch of NEXLETOL and NEXLIZET in the U.S. We announced collaboration agreements for the commercialization of bempedoic acid and the bempedoic acid / ezetimibe combination tablet with DSE in 2019, with Otsuka in 2020 and with DS, in 2021.</w:t>
      </w:r>
    </w:p>
    <w:p>
      <w:pPr>
        <w:spacing w:after="0" w:line="16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We continue to engage in partnering discussions with potential third-party collaborators. We intend to seek approval and launch commercial sales of the bempedoic acid and the bempedoic acid / ezetimibe combination tablet in unpartnered territories outside of the United States by establishing additional collaborations with one or more pharmaceutical company collaborators, depending on, among other things, the applicable indications, the related development costs and our available resources.</w:t>
      </w:r>
    </w:p>
    <w:p>
      <w:pPr>
        <w:spacing w:after="0" w:line="15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7"/>
          <w:szCs w:val="17"/>
          <w:color w:val="auto"/>
        </w:rPr>
        <w:t>We increased our selling, general and administrative expense in 2024 due to the expanded cardiovascular outcomes indication received in March of 2024 for NEXLETOL and NEXLIZET and the increased marketing and promotional activities along with increased sales force needed to launch the new indication. This included additional third-party commercial support and other promotional related expenses.</w:t>
      </w:r>
    </w:p>
    <w:p>
      <w:pPr>
        <w:spacing w:after="0" w:line="17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7"/>
          <w:szCs w:val="17"/>
          <w:color w:val="auto"/>
        </w:rPr>
        <w:t>Our selling, general, and administrative expense will remain consistent in 2025. As noted above, we increased our commercial organization and sales force in 2024 in anticipation of the new expanded cardiovascular outcomes label for NEXLETOL and NEXLIZET and expect our spend to stay consistent year over year. We will continue to spend on the promotional activities, marketing, and field force related to the continued launch of our expanded label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Supply</w:t>
      </w:r>
    </w:p>
    <w:p>
      <w:pPr>
        <w:spacing w:after="0" w:line="23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7"/>
          <w:szCs w:val="17"/>
          <w:color w:val="auto"/>
        </w:rPr>
        <w:t>Bempedoic acid and the bempedoic acid / ezetimibe combination tablet are small molecule drugs that are synthesized from readily available raw materials using conventional chemical processes. We currently have no manufacturing facilities. We rely on contract manufacturers to produce both drug substances and drug products required for our commercial supply and clinical studies. All lots of drug substance and drug product used in commercial supply and clinical studies are manufactured under current good manufacturing practices, or cGMP. We plan to continue to rely upon contract manufacturers and, potentially, in connection with the transfer of certain manufacturing responsibilities to DSE, collaboration partners to manufacture commercial</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quantities of the bempedoic acid and the bempedoic acid / ezetimibe combination tablet in the United States and in Europe and in territories outside of the United States and Europe.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Licenses and Collaboration Agreements</w:t>
      </w:r>
    </w:p>
    <w:p>
      <w:pPr>
        <w:spacing w:after="0" w:line="2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April 2008, we entered into an asset transfer agreement with Pfizer pursuant to which we acquired all intellectual property owned by Pfizer relating exclusively to the bempedoic acid program. We also entered into a license agreement providing a worldwide, exclusive, fully paid-up license of certain residual background intellectual property not transferred pursuant to the asset transfer agreement, and we granted Pfizer a worldwide, exclusive, fully paid-up license to certain patent rights owned or controlled by us relating to development programs other than bempedoic acid. The license to us covers the development, manufacturing and commercialization of bempedoic acid. There are no restrictions or limitations and we may grant sublicenses under the license agreements. Pfizer is not entitled to any royalties, milestones or any similar development or commercialization payments under the terms of the agreements, and the licenses granted are irrevocable and may not be terminated for any cause, including intentional breaches or breaches caused by gross negligence.</w:t>
      </w:r>
    </w:p>
    <w:p>
      <w:pPr>
        <w:spacing w:after="0" w:line="16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On January 2, 2019, we entered into a license and collaboration agreement, or LCA, with DSE. Pursuant to the agreement, we have granted DSE exclusive commercialization rights to bempedoic acid and the bempedoic acid / ezetimibe combination tablet in the European Economic Area, or EEA, and Switzerland, or the DSE Territory. DSE will be responsible for commercialization in the DSE Territory. We remain responsible for clinical development, regulatory and manufacturing activities for the licensed products globally, including in the DSE Territory. On June 18, 2020, we entered into an amendment to the LCA Amendment with DSE to include Turkey. DSE’s designated affiliate in Turkey will be solely responsible, at its sole cost and expense, for all regulatory matters relating to such products in Turkey, including obtaining Regulatory Approval for such products in Turkey. On January 3, 2024, we announced that after a transition period, DSE will assume sole responsibility for the manufacture of NILEMDO and NUSTENDI for the DSE Territory and that we granted DSE the exclusive rights for clinical development, regulatory activities, manufacture and commercialization of a bempedoic acid/ezetimibe/statin triple combination pill in the DSE Territory.</w:t>
      </w:r>
    </w:p>
    <w:p>
      <w:pPr>
        <w:spacing w:after="0" w:line="21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On April 17, 2020, we entered into a license and collaboration agreement, or the Otsuka Agreement, with Otsuka. Pursuant to the Otsuka Agreement, we granted Otsuka exclusive development and commercialization rights to bempedoic acid and the bempedoic acid / ezetimibe combination tablet in Japan. Otsuka will be responsible for all development, regulatory, and commercialization activities in Japan. In addition, Otsuka will fund all clinical development costs associated with the program in Japan.</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On April 26, 2021, we entered into a license and collaboration agreement with DS. Pursuant to the agreement, we granted DS exclusive development and commercialization rights to bempedoic acid and the bempedoic acid / ezetimibe combination tablet in South Korea, Taiwan, Hong Kong, Thailand, Vietnam, Brazil, Macao, Cambodia and Myanmar, or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On January 3, 2024, we announced that after a transition period, DS will assume sole responsibility for the manufacture of NILEMDO and NUSTENDI for the DS Territory and that we granted DS the exclusive rights for clinical development, regulatory activities, manufacture and commercialization of a bempedoic acid/ezetimibe/statin triple combination pill in the DS Territory.</w:t>
      </w:r>
    </w:p>
    <w:p>
      <w:pPr>
        <w:spacing w:after="0" w:line="177"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On December 12, 2024, we entered into a license and collaboration agreement with Neopharm. Under the terms of the agreement, we granted Neopharm exclusive commercialization rights to NEXLETOL and NEXLIZET in Israel, Gaza, and West Bank. Neopharm will be responsible for commercialization in these areas.</w:t>
      </w:r>
    </w:p>
    <w:p>
      <w:pPr>
        <w:spacing w:after="0" w:line="138"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7"/>
          <w:szCs w:val="17"/>
          <w:color w:val="auto"/>
        </w:rPr>
        <w:t>On February 26, 2025, we entered into a license and distribution agreement with Seqirus Pty Ltd, or CSL Seqirus, for the rights to commercialize NEXLETOL and NEXLIZET in Australia and New Zealand. Under the terms of the agreement, we will receive an upfront and near-term milestone payments and will be responsible for supplying finished product to CSL Seqirus. CSL Seqirus will be responsible for all commercialization activities, including regulatory approval, reimbursement and marketing.</w:t>
      </w:r>
    </w:p>
    <w:p>
      <w:pPr>
        <w:spacing w:after="0" w:line="18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For additional details on the DSE, Otsuka, DS, Neopharm and CSL Seqirus agreements, see Note 3 to our audited financial statements appearing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our business. We also rely on trade secrets to protect aspects of our business that are not amenable to, or that we do not consider appropriate for, patent protection.</w:t>
      </w:r>
    </w:p>
    <w:p>
      <w:pPr>
        <w:spacing w:after="0" w:line="16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bempedoic acid, the bempedoic acid / ezetimibe combination tablet and our other development programs.</w:t>
      </w:r>
    </w:p>
    <w:p>
      <w:pPr>
        <w:spacing w:after="0" w:line="173"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7"/>
          <w:szCs w:val="17"/>
          <w:color w:val="auto"/>
        </w:rPr>
        <w:t>As of December 31, 2024, our patent estate, including patents we own, on a worldwide basis, included approximately 11 issued United States patents and 10 pending United States patent applications and over 30 issued patents and over 90 pending patent applications in other foreign jurisdictions. Of our worldwide patent estate, only a subset of our patents and pending patent applications relates to our bempedoic acid program.</w:t>
      </w:r>
    </w:p>
    <w:p>
      <w:pPr>
        <w:spacing w:after="0" w:line="15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Bempedoic acid is claimed in U.S. Patent No. 7,335,799 that is scheduled to expire in December 2030, which includes 711 days of patent term adjustment, and five years of patent term extension. We believe that this patent could be the subject of an additional six month pediatric exclusivity period.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 Additionally, we have one patent family that includes U.S. Patent Nos. 11,407,705 and 11,987,548, directed to methods of manufacturing high purity bempedoic acid, and one pending U.S. patent application directed to the same and compositions of matter; U.S. Patent No. 11,613,511 directed to compositions of matter of high purity bempedoic acid, and one pending U.S. patent application directed to the same; U.S. Patent No. 11,760,714 directed to pharmaceutical formulations containing high purity bempedoic acid; U.S. Patent No. 11,926,584 directed to methods of lowering LDL-C using high purity bempedoic acid, and one pending U.S. patent application directed to additional methods of treatment using the same; and one granted patent and 19 pending patent applications outside of the United States. U.S. Patent Nos. 11,407,705, 11,613,511, 11,760,714, 11,926,584 and 11,987,548 and the other patent family members, if issued, are scheduled to expire in June 2040.</w:t>
      </w:r>
    </w:p>
    <w:p>
      <w:pPr>
        <w:spacing w:after="0" w:line="21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In addition, we have three patent families in which we are pursuing patent protection for our bempedoic acid and bempedoic acid / ezetimibe combination tablet in combination with one or more statins. Methods of treating familial hypercholesterolemia with the bempedoic acid / ezetimibe combination tablet are claimed in U.S. Patent Nos. 10,912,751 and 11,744,816 that are scheduled to expire in March 2036. We also have one pending U.S. patent application, and 10 granted patents and 10 pending applications outside the U.S. with claims directed to methods of treatment using the bempedoic acid / ezetimibe combination tablet. Additionally, we have one pending U.S. patent application, and 10 granted patents and 23 pending applications outside of the U.S. directed to the manufacturing of our bempedoic acid / ezetimibe combination tablet. We also have one issued U.S. patent, i.e., U.S. Patent No. 11,116,739, one pending U.S. patent application, and 12 granted patents and 11 pending applications outside the U.S., with claims directed to fixed dose combinations of bempedoic acid and one or more statins and/or methods of using said fixed dose combinations. U.S. Patent No. 11,116,739 is scheduled to expire in March 2036. A European patent in this patent family is currently being opposed at the European Patent Office.</w:t>
      </w:r>
    </w:p>
    <w:p>
      <w:pPr>
        <w:spacing w:after="0" w:line="203"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In addition to the patents we own, we also hold an exclusive, worldwide, fully paid-up license on any residual background intellectual property not transferred from Pfizer pursuant to our asset transfer agreement with Pfizer.</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 which we file, the patent term is 20 years from the date of filing a non-provisional application.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We have obtained a patent term extension in the United States for U.S. Patent No. 7,335,799. We also have obtained five-year supplementary protection certificates for one of the granted, counterpart European patents. However, any equivalent regulatory authority in other countries, may not agree with our assessment of whether such extensions are available, and may refuse to grant extensions to our patents, or may grant more limited extensions than we request. The duration of foreign patents varies 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accordance with provisions of applicable local law, but typically is also twenty years from the earliest effective filing date. Our issued U.S. patents relating to bempedoic acid, including patent term extensions we obtained, will expire on dates ranging from late-2030 to mid-2040. However, the actual protection afforded by a patent varies on a claim by claim basis for each applicable product, from country to country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U.S. The patent situation outside the U.S. is even more uncertain. Changes in either the patent laws or in interpretations of patent laws in the U.S. and other countries can diminish our ability to protect our inventions, and enforce our intellectual property rights and more generally, could affect the value of our intellectual property. Accordingly, we cannot predict the breadth of claims that may be allowed or enforced in our patents or in third-party patents.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vendors, collaborators, scientific advisors, contractors and other third parties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vendors, collaborators, scientific advisors, contractors or other third parties use intellectual property owned by others in their work for us, disputes may arise as to the rights in related or resulting know-how and inventions. For more information, please see “Risk Factors—Risks Related to our Intellectual Property.”</w:t>
      </w:r>
    </w:p>
    <w:p>
      <w:pPr>
        <w:spacing w:after="0" w:line="3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bempedoic acid, the bempedoic acid / ezetimibe combination tablet, or any other product candidates may have a material adverse impact on us. If third parties prepare and file patent applications in the U.S. that also claim technology to which we have rights, we may have to participate in an interference or derivation proceeding at the USPTO, to determine who is entitled to claim invention.</w:t>
      </w:r>
    </w:p>
    <w:p>
      <w:pPr>
        <w:spacing w:after="0" w:line="1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U.S. and elsewhere are published only after eighteen months from the priority date. The publication of discoveries in the scientific or patent literature frequently occurs substantially later than the date on which the</w:t>
      </w:r>
    </w:p>
    <w:p>
      <w:pPr>
        <w:spacing w:after="0" w:line="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underlying discoveries were made. Therefore, patent applications relating to drugs similar to bempedoic acid and any future drugs, discoveries or technologies we might develop may have already been filed by others without our knowledge.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Key competitive factors affecting the commercial success of our product candidates are likely to be efficacy, safety and tolerability profile, reliability, convenience of dosing, price and reimbursement.</w:t>
      </w:r>
    </w:p>
    <w:p>
      <w:pPr>
        <w:spacing w:after="0" w:line="17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The market for cholesterol regulating therapies is especially large and competitive. The product candidates we are currently developing and commercializing will face intense competition, either as monotherapies or as combination therapies.</w:t>
      </w:r>
    </w:p>
    <w:p>
      <w:pPr>
        <w:spacing w:after="0" w:line="15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drugs non-competitive or obsolete. See “Risk Factors—Risks Related to Sales, Marketing, and Competition—Our market is subject to intense competition. If we are unable to compete effectively, our opportunity to generate revenue from the sale of bempedoic acid or the bempedoic acid / ezetimibe combination tablet in the U.S., in Europe and in other territories will be materially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and Product Approval</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such as those we are developing and have developed.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States Drug Review and Approval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Drug Development Process</w:t>
      </w:r>
    </w:p>
    <w:p>
      <w:pPr>
        <w:spacing w:after="0" w:line="2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or the FDCA, and its implementing regulations. The process of obtaining regulatory approvals and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voluntary product recalls, product seizures, total or partial suspension of production or distribution, injunctions, fines, refusals of government contracts, restitution, disgorgement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civil or criminal penalties. The process required by the FDA before a drug may be marketed in the United States generally involves the following:</w:t>
      </w:r>
    </w:p>
    <w:p>
      <w:pPr>
        <w:spacing w:after="0" w:line="218" w:lineRule="exact"/>
        <w:rPr>
          <w:sz w:val="20"/>
          <w:szCs w:val="20"/>
          <w:color w:val="auto"/>
        </w:rPr>
      </w:pPr>
    </w:p>
    <w:p>
      <w:pPr>
        <w:ind w:left="620" w:right="56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preclinical, sometimes referred to as nonclinical, laboratory tests, animal studies and formulation studies all performed in accordance with applicable regulations, including the FDA's good laboratory practice, or GLP, regulations;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application, or IND, which must become effective before human clinical trials may begin and must be updated annually;</w:t>
      </w:r>
    </w:p>
    <w:p>
      <w:pPr>
        <w:spacing w:after="0" w:line="151"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the applicable IND and other clinical trial-related regulations, sometimes referred to as Good Clinical Practices, or GCP, to establish the safety and efficacy of the proposed drug for its proposed indication;</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NDA for a new drug;</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 NDA to file the NDA for review;</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active pharmaceutical ingredient, or API, and finished drug product are produced to assess compliance with cGMP;</w:t>
      </w:r>
    </w:p>
    <w:p>
      <w:pPr>
        <w:spacing w:after="0" w:line="151"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any FDA inspections of clinical trial sites, sponsor, and/or clinical research organizations, or CROs, to assess compliance with GCP and assure the integrity of clinical data in support of the NDA;</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FDA audit of the clinical trial sites that generated the data in support of the NDA;</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input from an advisory committee, if requested by FDA;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w:t>
      </w:r>
    </w:p>
    <w:p>
      <w:pPr>
        <w:spacing w:after="0" w:line="24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Once a pharmaceutical product candidate is identified for development, it enters the nonclinical, also referred to as preclinical, testing stage. Nonclinical tests include laboratory evaluations of product chemistry, toxicity, formulation and stability, as well as animal studies. A sponsor must submit the results of the nonclinical tests, together with manufacturing information, analytical data and any available clinical data or literature, to the FDA as part of the IND. The sponsor must also include a protocol detailing, among other things, the objectives of the initial clinical study, dosing procedures, subject selection and exclusion criteria, the parameters to be used in monitoring safety and the effectiveness criteria to be evaluated if the initial clinical study lends itself to an efficacy evaluation. Some nonclinical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Clinical holds also may be imposed by the FDA at any time before or during clinical studies due to safety concerns or non-compliance, and may be imposed on all drug products within a certain class of drugs. The FDA also can impose partial clinical holds, for example prohibiting the initiation of clinical studies of a certain duration or for a certain dose.</w:t>
      </w:r>
    </w:p>
    <w:p>
      <w:pPr>
        <w:spacing w:after="0" w:line="1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All clinical studies must be conducted under the supervision of one or more qualified investigators in accordance with GCP regulations. These regulations include the requirement that all research subjects provide informed consent. Further, an institutional review board, or IRB, must review and approve the plan for any clinical study before it commences at any institution. An IRB considers, among other things, whether the risks to individuals participating in the clinical study are minimized and are reasonable in relation to anticipated benefits. The IRB also approves the information regarding the clinical study and the consent form that must be provided to each clinical study subject or his or her legal representative and must monitor the clinical study until completed.</w:t>
      </w:r>
    </w:p>
    <w:p>
      <w:pPr>
        <w:spacing w:after="0" w:line="173"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Each new clinical protocol and any amendments to the protocol must be submitted to the IND for FDA review, and to the IRBs for approval. There are also requirements governing the reporting of ongoing clinical trials and clinical trial results to public registries.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the NIH and FDA have signaled the government’s willingness to begin enforcing those requirements against non-compliant clinical trial sponsors.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clinical studies are typically conducted in three sequential phases that may overlap or be combined:</w:t>
      </w:r>
    </w:p>
    <w:p>
      <w:pPr>
        <w:spacing w:after="0" w:line="214" w:lineRule="exact"/>
        <w:rPr>
          <w:sz w:val="20"/>
          <w:szCs w:val="20"/>
          <w:color w:val="auto"/>
        </w:rPr>
      </w:pPr>
    </w:p>
    <w:p>
      <w:pPr>
        <w:ind w:left="620" w:right="120" w:hanging="307"/>
        <w:spacing w:after="0" w:line="27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product is initially introduced into healthy human subjects and tested for safety, dosage tolerance, absorption, metabolism, distribution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excretion. In the case of some products for severe or life- threatening diseases, especially when the product may be too inherently toxic to ethically administer to healthy volunteers, the initial human testing may be conducted in patients.</w:t>
      </w:r>
    </w:p>
    <w:p>
      <w:pPr>
        <w:spacing w:after="0" w:line="159" w:lineRule="exact"/>
        <w:rPr>
          <w:rFonts w:ascii="Times New Roman" w:cs="Times New Roman" w:eastAsia="Times New Roman" w:hAnsi="Times New Roman"/>
          <w:sz w:val="17"/>
          <w:szCs w:val="17"/>
          <w:color w:val="auto"/>
        </w:rPr>
      </w:pPr>
    </w:p>
    <w:p>
      <w:pPr>
        <w:ind w:left="620" w:right="20" w:hanging="307"/>
        <w:spacing w:after="0" w:line="29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Involves clinical studies in a limited patient population to identify possible adverse effects and safety risks, to preliminarily evaluate the efficacy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product for specific targeted diseases and to determine dosage tolerance and optimal dosage and schedule.</w:t>
      </w:r>
    </w:p>
    <w:p>
      <w:pPr>
        <w:spacing w:after="0" w:line="142" w:lineRule="exact"/>
        <w:rPr>
          <w:rFonts w:ascii="Times New Roman" w:cs="Times New Roman" w:eastAsia="Times New Roman" w:hAnsi="Times New Roman"/>
          <w:sz w:val="17"/>
          <w:szCs w:val="17"/>
          <w:color w:val="auto"/>
        </w:rPr>
      </w:pPr>
    </w:p>
    <w:p>
      <w:pPr>
        <w:ind w:left="620" w:right="40" w:hanging="307"/>
        <w:spacing w:after="0" w:line="27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Clinical studies are undertaken to further evaluate dosage, clinical efficacy and safety in an expanded patient population at geographically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dispersed clinical study sites. These clinical studies are intended to establish the overall risk/benefit ratio of the product and provide an adequate basis for product labeling.</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 xml:space="preserve">Progress reports detailing the results of the clinical studies must be submitted at least annually to the FDA and IND safety reports must be submitted to the FDA and the investigators for serious and unexpected adverse events, including any clinically important increase in the rate of a serious suspected adverse reaction over that listed in the protocol or investigator’s brochure, or any findings from other studies or animal 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testing that suggest a significant risk in humans exposed to the product candidate. Phase 1, Phase 2 and Phase 3 testing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NDA and FDA Review Process</w:t>
      </w:r>
    </w:p>
    <w:p>
      <w:pPr>
        <w:spacing w:after="0" w:line="2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results of product development, nonclinical studies and clinical studies, along with descriptions of the manufacturing process, analytical tests conducted on the drug, proposed labeling and other relevant information, are submitted to the FDA as part of an NDA for a new drug, requesting approval to market the product. The submission of an NDA is subject to the payment of a substantial user fee; a waiver of such fee may be obtained under certain limited circumstances. For example, the agency will waive the application fee for the first human drug application that a small business or its affiliate submits for review or for a drug that received orphan drug designation from FDA. The Company obtained a Small Business Waiver from the FDA related to bempedoic acid. There is also an annual prescription drug program fee for each approved prescription drug product on the market.</w:t>
      </w:r>
    </w:p>
    <w:p>
      <w:pPr>
        <w:spacing w:after="0" w:line="21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In addition, under the Pediatric Research Equity Act of 2003, or PREA, as amended made into permanent law pursuant to Food and Drug Administration Safety and Innovation Act (FDASIA),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grant full or partial waivers.</w:t>
      </w:r>
    </w:p>
    <w:p>
      <w:pPr>
        <w:spacing w:after="0" w:line="157"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7"/>
          <w:szCs w:val="17"/>
          <w:color w:val="auto"/>
        </w:rPr>
        <w:t>The FDA reviews all NDAs submitted to ensure that they are sufficiently complete for substantive review before it accepts them for filing. The FDA may request additional information rather than accept an NDA for filing. In this event, the NDA must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be re-submitted with the additional information. The re-submitted application also is subject to review before the FDA accepts it for filing. The FDA may determine that the Application filed does not allow for substantive review and may issue a Refusal to File, which essentially returns the application back to the Applicant and the clock restarts when resubmitted. Once the submission is accepted for filing, the FDA begins an in-depth substantive review.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FDA also can require, or an NDA applicant may voluntarily propose, a Risk Evaluation and Mitigation Strategy, or REMS, to ensure the benefits of a drug outweigh its risks. Elements of a REMS may include “dear doctor letters,” a medication guide, and in some cases restrictions on distribution. These elements are negotiated as part of the NDA approval, and in some cases may delay the approval date. Once adopted, REMS are subject to periodic assessment and modification. The FDA may refer the NDA to an advisory committee for review, evaluation and recommendation as to whether the application should be approved and under what conditions. An advisory committee is a panel of experts who provide advice and recommendations when requested by the FDA on matters of importance that come before the agency. The FDA is not bound by the recommendation of an advisory committee.</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studies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certain therapeutic areas, the FDA may grant a conditional approval, or Subpart H, approval if the agreed regulatory path is based on a surrogate endpoint that requires a confirmatory clinical trial to be initiated at the time of Subpart H approval. Subpart H approval comes with many restrictions including limitations on drug promotion, scope of indication and a requirement to complete a pre-agreed confirmatory clinical trial. Following completion of the confirmatory clinical trial, based on the trial results, the FDA may issue a full approval, ask for additional studies and in rare cases initiate withdrawal proceedings to withdraw the approval and the product from market.</w:t>
      </w:r>
    </w:p>
    <w:p>
      <w:pPr>
        <w:spacing w:after="0" w:line="199"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Furthermore, additional regulations may be enacted that add to additional requirements for approved products. For example, the FDA may classify a general chemical class of products as having a safety issue even though the products may not directly have a problem, which may result in additional safety and manufacturing controls.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Post-Marketing Requirements</w:t>
      </w:r>
    </w:p>
    <w:p>
      <w:pPr>
        <w:spacing w:after="0" w:line="22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7"/>
          <w:szCs w:val="17"/>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promotion), and limitations on industry-sponsored scientific and educational activities. Although physicians may prescribe legally available drugs for off-label uses, the FDA takes the position that manufacturers may not market or promote such off-label uses. Modifications or enhancements to the drug or its labeling or changes of the site or process of manufacturing are often subject to the approval of the FDA and other regulators, which may or may not be received or may result in a lengthy review process.</w:t>
      </w:r>
    </w:p>
    <w:p>
      <w:pPr>
        <w:spacing w:after="0" w:line="16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or the PDMA, a part of the FDCA. Further, drugs approved under an accelerated approval pathway or Subpart H approval may require pre-approval of all marketing and promotional materials before they are used. The Drug Supply Chain Security Act, or DSCSA, was enacted in 2013 with the aim of building an electronic system to identify and trace certain prescription drugs distributed in the U.S. The DSCSA mandates phased-in and resource-intensive obligations for pharmaceutical manufacturers, wholesale distributors, and dispensers over a 10-year period that culminated in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November 2023. The FDA established a one-year stabilization period until November 2024 for trading partners to continue to build and validate interoperable systems and processes to meet certain requirements of the DSCSA. In late 2024, the FDA announced it is allowing a further exemption period for eligible trading partners who have successfully completed or made documented efforts to complete data connections with their immediate trading partners, but still face challenges exchanging data. The exemption period for eligible manufacturers and repackagers now extends until May 27, 2025.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200" w:lineRule="exact"/>
        <w:rPr>
          <w:sz w:val="20"/>
          <w:szCs w:val="20"/>
          <w:color w:val="auto"/>
        </w:rPr>
      </w:pPr>
    </w:p>
    <w:p>
      <w:pPr>
        <w:spacing w:after="0" w:line="2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the U.S., once a drug is approved, its manufacturing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our approved drug and drug candidates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manufacturing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21"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 candidates under development.</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Additional data or post marketing safety reports obtained globally can impact our products, whether or not we conducted the studies. For example, a research study conducted with bempedoic acid or ezetimibe by any entity globally can impact NEXLETOL and NEXLIZET in the U.S. In addition, the FDA may conduct their own surveillance of data on our products and initiate safety signal identification requiring us to conduct additional studies or analysis that may impact our label. For example, any post marketing data that has a safety signal may require us to disclose the adverse effects in post marketing section of our label.</w:t>
      </w:r>
    </w:p>
    <w:p>
      <w:pPr>
        <w:spacing w:after="0" w:line="19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Regulatory Matters</w:t>
      </w:r>
    </w:p>
    <w:p>
      <w:pPr>
        <w:spacing w:after="0" w:line="22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drug approval are also subject to regulation by numerous regulatory authorities in addition to the FDA, including, in the U.S., the Centers for Medicare &amp; Medicaid Services, or CMS, other divisions of the U.S. Department of Health and Human Services, or HHS, the Drug Enforcement Administration for controlled substances, the Consumer Product Safety Commission, the Federal Trade Commission, or FTC, the Occupational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38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3"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our approved drug or any future products marketed by us could materially affect our business in an adverse way.</w:t>
      </w:r>
    </w:p>
    <w:p>
      <w:pPr>
        <w:spacing w:after="0" w:line="17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 or (iv) additional record-keeping requirements. If any such changes were to be imposed, they could adversely affect the operation of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 Restoration and Marketing Exclusivity</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the use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diligently spent,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NDA holders can apply for restorations of patent term to add patent life beyond current expiration dates, depending on the expected length of the clinical studies and other factors involved in the filing of the relevant NDA; however, there can be no assurance that any such extension will be granted to us.</w:t>
      </w:r>
    </w:p>
    <w:p>
      <w:pPr>
        <w:spacing w:after="0" w:line="1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Market exclusivity provisions under the FDCA can also delay the submission or the approval of certain applications. The FDCA provides a five-year period of non-patent marketing exclusivity within the United States to the first applicant to gain approval of an NDA for a new chemical entity, or NCE. A drug is a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7"/>
          <w:szCs w:val="17"/>
          <w:color w:val="auto"/>
        </w:rPr>
        <w:t>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Three-year exclusivity will not delay the submission or approval of a full NDA.</w:t>
      </w:r>
    </w:p>
    <w:p>
      <w:pPr>
        <w:spacing w:after="0" w:line="2"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However, an applicant submitting a full NDA would be required to conduct or obtain a right of reference to all of the nonclinical studies and adequate and well-controlled clinical studies necessary to demonstrate safety and effectiveness.</w:t>
      </w:r>
    </w:p>
    <w:p>
      <w:pPr>
        <w:spacing w:after="0" w:line="1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Pediatric exclusivity is another type of exclusivity in the United States. Pediatric exclusivity, if granted, adds six months to existing exclusivity periods for all formulations, dosage forms, and indications of the drug and patent terms. This six-month exclusivity, which runs from the end of other exclusivity protection and, for drugs,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Certain foreign countries permit extension of patent term for a newly approved drug and/or grant a period of data exclusivity and/or market exclusivity. For example, depending upon the timing and duration of the marketing authorization process in certain European countries, a newly approved drug may be eligible for a supplementary protection certification, or SPC, which can extend the basic patent right for the drug for a period up to five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Reimbursement and Healthcare Reform</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Sales of NEXLETOL and NEXLIZET and any future approved drugs will depend, in part, on the extent to which such drugs will be covered by third-party payors, such as government health programs, commercial insurers, and managed healthcare organizations, as well as the level of reimbursement such third-party payors provide for our products. Patients and providers are unlikely to use NEXLETOL and NEXLIZET or any future approved drugs unless coverage is provided and reimbursement is adequate to cover a significant portion of the cost of such drugs. These third-party payors are increasingly reducing reimbursements for medical drugs and services.</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NEXLETOL and NEXLIZET or any of our future drug candidates, if approved, are made on a payor-by-payor basis. Factors payors consider in determining reimbursement are based on whether the product is:</w:t>
      </w:r>
    </w:p>
    <w:p>
      <w:pPr>
        <w:spacing w:after="0" w:line="203"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2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As a result, the coverage determination process may be a time-consuming and costly process that will require us to provide scientific and clinical support for the use of NEXLETOL and NEXLIZET or any future approved drugs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Net prices for NEXLETOL and NEXLIZET or any future approved drugs may also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w:t>
      </w:r>
    </w:p>
    <w:p>
      <w:pPr>
        <w:spacing w:after="0" w:line="203"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7"/>
          <w:szCs w:val="17"/>
          <w:color w:val="auto"/>
        </w:rPr>
        <w:t>In the case of our Medicaid pricing data, if we become aware that our reporting for a prior quarter is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or MDRP,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NEXLETOL and NEXLIZET or any of our future drug candidates, if approved, or a decision by a third-party payor to not cover NEXLETOL and NEXLIZET or any of our future drug candidates could reduce physician usage of such drugs and have a material adverse effect on our sales, results of operations and financial condition.</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or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w:t>
      </w:r>
    </w:p>
    <w:p>
      <w:pPr>
        <w:spacing w:after="0" w:line="17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2010, the ACA became law in the United States. The goal of the ACA is to reduce the cost of healthcare and substantially change the way healthcare is financed by both governmental and private insurers. The ACA, among other things, increases minimum Medicaid rebates owed by manufacturers under the MDRP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other legislative and regulatory changes have been proposed and adopted in the United States since the ACA was enacted:</w:t>
      </w:r>
    </w:p>
    <w:p>
      <w:pPr>
        <w:spacing w:after="0" w:line="244" w:lineRule="exact"/>
        <w:rPr>
          <w:sz w:val="20"/>
          <w:szCs w:val="20"/>
          <w:color w:val="auto"/>
        </w:rPr>
      </w:pPr>
    </w:p>
    <w:p>
      <w:pPr>
        <w:ind w:left="620" w:right="280" w:hanging="307"/>
        <w:spacing w:after="0" w:line="288"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2019, CMS published a final rule to allow Medicare Advantage Plans the option of using step therapy for Part B drugs.</w:t>
      </w:r>
    </w:p>
    <w:p>
      <w:pPr>
        <w:spacing w:after="0" w:line="230" w:lineRule="exact"/>
        <w:rPr>
          <w:rFonts w:ascii="Times New Roman" w:cs="Times New Roman" w:eastAsia="Times New Roman" w:hAnsi="Times New Roman"/>
          <w:sz w:val="17"/>
          <w:szCs w:val="17"/>
          <w:color w:val="auto"/>
        </w:rPr>
      </w:pPr>
    </w:p>
    <w:p>
      <w:pPr>
        <w:ind w:left="620" w:right="60" w:hanging="307"/>
        <w:spacing w:after="0"/>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the Inflation Reduction Act of 2022 (the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implementation</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right="80"/>
        <w:spacing w:after="0" w:line="272" w:lineRule="auto"/>
        <w:rPr>
          <w:sz w:val="20"/>
          <w:szCs w:val="20"/>
          <w:color w:val="auto"/>
        </w:rPr>
      </w:pPr>
      <w:r>
        <w:rPr>
          <w:rFonts w:ascii="Times New Roman" w:cs="Times New Roman" w:eastAsia="Times New Roman" w:hAnsi="Times New Roman"/>
          <w:sz w:val="17"/>
          <w:szCs w:val="17"/>
          <w:color w:val="auto"/>
        </w:rPr>
        <w:t>of the IRA is currently subject to ongoing litigation challenging the constitutionality of the IRA’s Medicare drug price negotiation program. The effect of IRA on our business and the healthcare industry in general is not yet known.</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NEXLETOL and NEXLIZET or any future drug candidates for which we may obtain marketing approval. However, any negotiated prices for NEXLETOL and NEXLIZET or any future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It is unclear how these developments may impact the sale of our current and future products and the rates that we may charge in the future.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20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Recently, there have also been several changes to the 340B drug pricing program. On November 3, 2023, the U.S. District Court of South Carolina issued an opinion in Genesis Healthcare Inc. v. Becerra et al. that may lead to an expansion of the scope of patients eligible to access prescriptions at 340B pricing. The outcome of this judicial proceeding is uncertain. We continue to review developments impacting the 340B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recent years, additional laws have resulted in direct or indirect reimbursement reductions for certain Medicare providers, including:</w:t>
      </w:r>
    </w:p>
    <w:p>
      <w:pPr>
        <w:spacing w:after="0" w:line="205" w:lineRule="exact"/>
        <w:rPr>
          <w:sz w:val="20"/>
          <w:szCs w:val="20"/>
          <w:color w:val="auto"/>
        </w:rPr>
      </w:pPr>
    </w:p>
    <w:p>
      <w:pPr>
        <w:ind w:left="620" w:right="8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Budget Control Act of 2011, among other things, included aggregate reductions of Medicare payments to providers of 2% per fiscal year and, due to subsequent legislative amendments to the statute, will remain in effect through 2031.</w:t>
      </w:r>
    </w:p>
    <w:p>
      <w:pPr>
        <w:spacing w:after="0" w:line="177" w:lineRule="exact"/>
        <w:rPr>
          <w:rFonts w:ascii="Times New Roman" w:cs="Times New Roman" w:eastAsia="Times New Roman" w:hAnsi="Times New Roman"/>
          <w:sz w:val="17"/>
          <w:szCs w:val="17"/>
          <w:color w:val="auto"/>
        </w:rPr>
      </w:pPr>
    </w:p>
    <w:p>
      <w:pPr>
        <w:ind w:left="620" w:right="4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215" w:lineRule="exact"/>
        <w:rPr>
          <w:rFonts w:ascii="Times New Roman" w:cs="Times New Roman" w:eastAsia="Times New Roman" w:hAnsi="Times New Roman"/>
          <w:sz w:val="17"/>
          <w:szCs w:val="17"/>
          <w:color w:val="auto"/>
        </w:rPr>
      </w:pPr>
    </w:p>
    <w:p>
      <w:pPr>
        <w:ind w:left="620" w:hanging="307"/>
        <w:spacing w:after="0" w:line="234" w:lineRule="auto"/>
        <w:tabs>
          <w:tab w:leader="none" w:pos="6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On March 11, 2021, President Biden signed the American Rescue Plan Act of 2021 into law. Under the American Rescue Plan of 2021,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AMP, for single source and innovator multiple source drugs, beginning January 1, 2024. These laws and regulations may result in additional reductions in Medicare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spacing w:after="0" w:line="272" w:lineRule="auto"/>
        <w:rPr>
          <w:sz w:val="20"/>
          <w:szCs w:val="20"/>
          <w:color w:val="auto"/>
        </w:rPr>
      </w:pPr>
      <w:r>
        <w:rPr>
          <w:rFonts w:ascii="Times New Roman" w:cs="Times New Roman" w:eastAsia="Times New Roman" w:hAnsi="Times New Roman"/>
          <w:sz w:val="17"/>
          <w:szCs w:val="17"/>
          <w:color w:val="auto"/>
        </w:rPr>
        <w:t>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2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support programs.</w:t>
      </w:r>
    </w:p>
    <w:p>
      <w:pPr>
        <w:spacing w:after="0" w:line="18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At the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21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products or drug candidates or additional pricing pressures.</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On January 5, 2024, the FDA issued to Florida the first approval for a state importation plan for drugs imported from Canada. Several states now have pending applications with the FDA for the import of drugs from Canada, including Colorado, Maine, New Hampshire, and New Mexico.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0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NEXLETOL and NEXLIZET or any future drug candidates for which we may obtain regulatory approval or the frequency with which NEXLETOL and NEXLIZET or any such drug candidate is prescribed or used.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For our drugs and any future drug candidates that obtain regulatory approval and are marketed in the U.S., our arrangements with third-party payors, customers, and other third parties may expose us to broadly applicable fraud and abuse and other healthcare laws and regulations that may constrain the business or financial arrangements and relationships through which we market, sell, and distribute NEXLETOL and NEXLIZET or any future products candidates for which we obtain marketing approval.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In addition, we may be subject to health information privacy and security regulation by U.S. federal and state governments and foreign jurisdictions in which we conduct our business. In the U.S., these laws include, without limitation, state and federal anti-kickback, false claims, physician transparency, and patient data privacy and security laws and regulations, including but not limited to those described below:</w:t>
      </w:r>
    </w:p>
    <w:p>
      <w:pPr>
        <w:spacing w:after="0" w:line="219" w:lineRule="exact"/>
        <w:rPr>
          <w:sz w:val="20"/>
          <w:szCs w:val="20"/>
          <w:color w:val="auto"/>
        </w:rPr>
      </w:pPr>
    </w:p>
    <w:p>
      <w:pPr>
        <w:ind w:left="620" w:right="60" w:hanging="307"/>
        <w:spacing w:after="0" w:line="259"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makes it illegal for any person, including a prescription drug manufacturer (or a party on its behalf) to, knowingly and willfully offer, solicit, receive, or pay remuneration (including any kickback, bribe, or rebate), directly or indirectly, in cash or in kind, that is intended to induce or reward, or in return for, either the referral of an individual for, or the purchase, order, or recommendation of, any good or service, for which payment may be made, in whole or in part, under federal healthcare programs such as the Medicare and Medicaid programs. Violations of this law are subject to civil and criminal fines and penalties for each violation, plus up to three times the remuneration involved, imprisonment, administrative civil monetary penalties, and exclusion from participation in government healthcare programs. In addition, a person or entity does not need to have actual knowledge of the statute or specific intent to violate it in order to have committed a violation. In addition, the government may assert that 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20"/>
        <w:spacing w:after="0" w:line="258" w:lineRule="auto"/>
        <w:rPr>
          <w:sz w:val="20"/>
          <w:szCs w:val="20"/>
          <w:color w:val="auto"/>
        </w:rPr>
      </w:pPr>
      <w:r>
        <w:rPr>
          <w:rFonts w:ascii="Times New Roman" w:cs="Times New Roman" w:eastAsia="Times New Roman" w:hAnsi="Times New Roman"/>
          <w:sz w:val="17"/>
          <w:szCs w:val="17"/>
          <w:color w:val="auto"/>
        </w:rPr>
        <w:t>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w:t>
      </w:r>
    </w:p>
    <w:p>
      <w:pPr>
        <w:spacing w:after="0" w:line="167" w:lineRule="exact"/>
        <w:rPr>
          <w:sz w:val="20"/>
          <w:szCs w:val="20"/>
          <w:color w:val="auto"/>
        </w:rPr>
      </w:pPr>
    </w:p>
    <w:p>
      <w:pPr>
        <w:ind w:left="620" w:hanging="307"/>
        <w:spacing w:after="0" w:line="239"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False Claims Act, impose criminal and civil penalties, and authorizes civil whistleblower or qui tam actions, against individuals or entities (including manufacturers) for, among other things, knowingly presenting, or causing to be presented false or fraudulent claims for payment by a federal healthcare program; making, using, or causing to be made or used, a false statement or record material to payment of a false or fraudulent claim or obligation to pay or transmit money or property to the federal government; or knowingly concealing or knowingly and improperly avoiding or decreasing an obligation to pay money to the federal government.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The federal False Claims Act also permits a private individual acting as a “whistleblower” to bring actions on behalf of the federal government alleging violations of the federal False Claims Act and to share in any monetary recovery. Our marketing and activities relating to the reporting of wholesaler or estimated retail prices for NEXLETOL and NEXLIZET or any future product candidates, the reporting of prices used to calculate Medicaid rebate information, and other information affecting federal, state, and third-party reimbursement for NEXLETOL and NEXLIZET or any future product candidates, and the sale and marketing of NEXLETOL and NEXLIZET and any future product candidates, are subject to scrutiny under this law.</w:t>
      </w:r>
    </w:p>
    <w:p>
      <w:pPr>
        <w:spacing w:after="0" w:line="221" w:lineRule="exact"/>
        <w:rPr>
          <w:rFonts w:ascii="Times New Roman" w:cs="Times New Roman" w:eastAsia="Times New Roman" w:hAnsi="Times New Roman"/>
          <w:sz w:val="17"/>
          <w:szCs w:val="17"/>
          <w:color w:val="auto"/>
        </w:rPr>
      </w:pPr>
    </w:p>
    <w:p>
      <w:pPr>
        <w:ind w:left="620" w:right="80" w:hanging="307"/>
        <w:spacing w:after="0" w:line="265"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0"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imposes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or willfully falsifying, concealing or covering up by any trick or device a material fact, or making any materially false, fictitious, or fraudulent statement in connection with the delivery of or payment for healthcare benefits, items, or services relating to healthcare matters. Similar to the U.S. federal Anti-Kickback Statute, a person or entity does not need to have actual knowledge of the healthcare fraud statute implemented under HIPAA or specific intent to violate it in order to have committed a violation.</w:t>
      </w:r>
    </w:p>
    <w:p>
      <w:pPr>
        <w:spacing w:after="0" w:line="179" w:lineRule="exact"/>
        <w:rPr>
          <w:rFonts w:ascii="Times New Roman" w:cs="Times New Roman" w:eastAsia="Times New Roman" w:hAnsi="Times New Roman"/>
          <w:sz w:val="17"/>
          <w:szCs w:val="17"/>
          <w:color w:val="auto"/>
        </w:rPr>
      </w:pPr>
    </w:p>
    <w:p>
      <w:pPr>
        <w:ind w:left="620" w:right="60" w:hanging="307"/>
        <w:spacing w:after="0" w:line="258"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and their business associates, that perform services for them that involve the use, or disclosure of, individually identifiable health information, relating to the privacy, security, and transmission of individually identifiable health information without appropriate authorization,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 or injunctions in federal courts to enforce the federal HIPAA laws and seek attorneys' fees and costs associated with pursuing federal civil actions.</w:t>
      </w:r>
    </w:p>
    <w:p>
      <w:pPr>
        <w:spacing w:after="0" w:line="179" w:lineRule="exact"/>
        <w:rPr>
          <w:rFonts w:ascii="Times New Roman" w:cs="Times New Roman" w:eastAsia="Times New Roman" w:hAnsi="Times New Roman"/>
          <w:sz w:val="17"/>
          <w:szCs w:val="17"/>
          <w:color w:val="auto"/>
        </w:rPr>
      </w:pPr>
    </w:p>
    <w:p>
      <w:pPr>
        <w:ind w:left="620" w:right="40" w:hanging="307"/>
        <w:spacing w:after="0" w:line="288"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26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price reporting laws require drug manufacturers to calculate and report complex pricing metrics to government programs, where such reported prices may be used in the calculation of reimbursement and/or discounts on approved products.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consumer protection and unfair competition laws, which broadly regulate marketplace activities and activities that potentially harm consumers.</w:t>
      </w:r>
    </w:p>
    <w:p>
      <w:pPr>
        <w:spacing w:after="0" w:line="205" w:lineRule="exact"/>
        <w:rPr>
          <w:rFonts w:ascii="Times New Roman" w:cs="Times New Roman" w:eastAsia="Times New Roman" w:hAnsi="Times New Roman"/>
          <w:sz w:val="17"/>
          <w:szCs w:val="17"/>
          <w:color w:val="auto"/>
        </w:rPr>
      </w:pPr>
    </w:p>
    <w:p>
      <w:pPr>
        <w:ind w:left="620" w:right="40" w:hanging="307"/>
        <w:spacing w:after="0" w:line="24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or Sunshine Act, enacted as part of the ACA, and its implementing regulations, require certain manufacturers of drugs, devices, biologics, and medical supplies for which payment is available under Medicare, Medicaid, or the Children's Health Insurance Program (with certain exceptions) to report annually to the HHS under the Open Payments Program, information related to payments and other "transfers of value" provided to physicians (defined to include doctors, dentists, optometrists, podiatrists, and chiropractors), certain other licensed health care practitioners and teaching hospitals, and ownership and investment interests held by physicians and their immediate family members.</w:t>
      </w:r>
    </w:p>
    <w:p>
      <w:pPr>
        <w:spacing w:after="0" w:line="212" w:lineRule="exact"/>
        <w:rPr>
          <w:rFonts w:ascii="Times New Roman" w:cs="Times New Roman" w:eastAsia="Times New Roman" w:hAnsi="Times New Roman"/>
          <w:sz w:val="17"/>
          <w:szCs w:val="17"/>
          <w:color w:val="auto"/>
        </w:rPr>
      </w:pPr>
    </w:p>
    <w:p>
      <w:pPr>
        <w:ind w:left="620" w:right="20" w:hanging="307"/>
        <w:spacing w:after="0" w:line="25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state agencies and through private actions. Some state laws require pharmaceutical companies to comply with the pharmaceutical industry’s voluntary compliance guidelines and the relevant federal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 State and foreign laws also govern the privacy and security of health information in certain circumstances. Such data privacy and security laws may differ from one another in significant ways and often are not preempted by HIPAA, thus complicating compliance efforts.</w:t>
      </w:r>
    </w:p>
    <w:p>
      <w:pPr>
        <w:spacing w:after="0" w:line="16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In the United States, there is a growing body of stringent privacy and data security legislation. In California, for example, the California Consumer Privacy Act, or CCPA, was enacted in June 2018, became effective on January 1, 2020, and became subject to enforcement by the California Attorney General's office on July 1, 2020. The CCPA broadly defines personal information, gives California residents expanded privacy rights and protections, and places stringent privacy and security obligations on business covered by the law. Further, the California Privacy Rights Act, or CPRA, amended the CCPA and as of January 1, 2023, created additional obligations with respect to processing and safeguarding personal information. The CCPA provides for civil penalties for violations and a private right of action for data breaches. Among other provisions, the CCPA requires covered "businesses" to provide certain disclosures to consumers about their data collection, use and sharing practices, and to provide affected California residents with ways to opt-out of certain sales or sharing of personal information. While there is an exception for protected health information that is subject to HIPAA and clinical trial regulations, the CCPA may impact our business activities if we become a "business" regulated by the scope of the CCPA or a service provider to a regulated business.</w:t>
      </w:r>
    </w:p>
    <w:p>
      <w:pPr>
        <w:spacing w:after="0" w:line="20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In addition to the CCPA, new privacy and data security laws have been enacted in numerous other states and have been proposed in even more states as well as in the U.S. Congress, reflecting a trend toward more stringent privacy legislation in the U.S., which may accelerate. Furthermore, a smaller number of states have passed or are considering laws that are specifically focused upon the protection of consumer health data, such as Washington’s My Health My Data Act.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20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In the U.S., to help patients access our approved products, we may utilize programs to assist them, including patient assistance programs and co-pay coupon programs for eligible patients. PAPs are regulated by and subject to guidance from CMS OIG. In addition, at least one insurer has directed its network pharmacies to no longer accept co-pay coupons for certain specialty drugs the insurer identified. Our co-pay coupon programs could become the target of similar insurer actions.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number of investigations, prosecutions, convictions, and settlements in the healthcare industry. In November 2020, the OIG issued a Fraud Alert highlighting its view that pharmaceutical promotional speaker programs can pose a high risk of fraud and abuse.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individual imprisonment, disgorgement, exclusion of drugs from government funded healthcare programs, such as Medicare and Medicaid, contractual damages, reputational harm, diminished profits and future earnings, and the curtailment or restructuring of our operations, as well as additional oversight, and reporting obligations if we become subject to a corporate integrity agreement or similar settlement to resolve allegations of non-compliance with these laws.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Union Regulatory Considerations</w:t>
      </w:r>
    </w:p>
    <w:p>
      <w:pPr>
        <w:spacing w:after="0" w:line="2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In the European Union, or EU, NILEMDO and NUSTENDI and any other of our product candidates are also subject to extensive regulatory requirements. As in the United States, medicinal products can be marketed only if a marketing authorization from the competent regulatory agencies has been obtained.</w:t>
      </w:r>
    </w:p>
    <w:p>
      <w:pPr>
        <w:spacing w:after="0" w:line="16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In the event we conduct clinical trials in the EEA and UK, we will be subject to additional data protection restrictions, such as the GDPR (as defined below). The GDPR may increase our responsibility and liability in relation to personal data that we process where such processing is subject to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potential European activities.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Union Drug Development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to the U.S., the various phases of preclinical and clinical research in EU are subject to significant regulatory controls.</w:t>
      </w:r>
    </w:p>
    <w:p>
      <w:pPr>
        <w:spacing w:after="0" w:line="2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April 2014, the EU adopted the Clinical Trials Regulation (EU) No 536/2014, or the Regulation, which replaced the previous Clinical Trials Directive 2001/20/EC on January 31, 2022. The Regulation overhauled the previous system of approvals for clinical trials in the EU. The main characteristics of the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applicable EU Member State, however, overall related timelines are defined by the Regulation. Parties conducting certain clinical trials must, as in the United States, post clinical trial information in the EU through the CTIS.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EU, medicinal products can only be commercialized after obtaining an EU marketing authorization. There are two types of marketing authorizations.</w:t>
      </w:r>
    </w:p>
    <w:p>
      <w:pPr>
        <w:spacing w:after="0" w:line="21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7"/>
          <w:szCs w:val="17"/>
          <w:color w:val="auto"/>
        </w:rPr>
        <w:t>The first is the centralized marketing authorization, which is issued by the European Commission through the centralized procedure, or CP, based on the opinion of the Committee for Medicinal Products for Human Use, or CHMP of the EMA. A centralized marketing authorization is valid throughout the entire territory of the EU, and in the additional countries of the EEA (i.e., Iceland, Liechtenstein and Norway). Pursuant to Regulation (EC) No. 726/2004, the CP is mandatory for specific products, including for medicinal products produced by certain biotechnological processes, advanced-therapy medicinal products (gene-therapy, somatic cell-therapy or tissue-engineered medicines), products designated as orphan medicinal drugs,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and medicinal drugs containing a new active substance indicated for the treatment of HIV or AIDS, cancer, neurodegenerative disorders, diabetes, auto-immune and other immune dysfunctions, and viral diseases. The CP is optional for drugs containing a new active substance not yet authorized in the EU, or for drugs that constitute a significant therapeutic, scientific, or technical innovation or which are in the interest of public health in the EU.</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National marketing authorizations, which are issued by the competent authorities of the Member States of the EEA and only cover their respective territory, are available for drugs not falling within the mandatory scope of the CP. Where a drug has already been authorized for marketing in a Member State of the EU, this national marketing authorization can be recognized in other Member States through the mutual recognition procedure. If the drug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authorization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RMS, the drug is subsequently granted a national marketing authorization in all the Member States (i.e., in the RMS and the Concerned Member States).</w:t>
      </w:r>
    </w:p>
    <w:p>
      <w:pPr>
        <w:spacing w:after="0" w:line="18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Under the above described procedures, before granting the marketing authorization, the EMA or the Competent Authorities of the Member States of the EU make an assessment of the risk benefit balance of the product on the basis of scientific criteria concerning its quality, safety, and efficacy.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and Market Exclusivity</w:t>
      </w:r>
    </w:p>
    <w:p>
      <w:pPr>
        <w:spacing w:after="0" w:line="2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Regulation (EC) No 726/2004.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marketing authorization application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 marketing authorization application with a complete and independent data package of pharmaceutical tests, preclinical tests and clinical trials.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Periods of Authorization and Renewals</w:t>
      </w:r>
    </w:p>
    <w:p>
      <w:pPr>
        <w:spacing w:after="0" w:line="25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competent authority decides, on justified grounds relating to pharmacovigilance, to proceed with one additional five-year renewal period. Any marketing authorization which is not followed by the actual placing of the medicinal product on the EU market (in the case of the CP) or on the market of the authorizing EU Member State (for a nationally authorized product) within three years after authorization, ceases to be valid (the so-called sunset clause).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Reform of the Regulatory Framework in the EU</w:t>
      </w:r>
    </w:p>
    <w:p>
      <w:pPr>
        <w:spacing w:after="0" w:line="2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European Commission adopted legislative proposals in April 2023 that replaced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Brexit and the Regulatory Framework in the United Kingdom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UK formally left the EU on January 31, 2020. As a result of the Northern Ireland protocol, following Brexit, the EMA remained responsible for approving novel medicines for supply in Northern Ireland under the EU CP, and a separate authorization was required to supply the same medicine in Great Britain (i.e.,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existing system under the Northern Ireland Protocol, including with respect to the regulation of medicinal products in the UK. In particular, the MHRA, the UK medicines regulator, is now responsible for approving all medicinal products under the EU CP destined for the UK market (i.e., GB and Northern Ireland), and the EMA no longer has any role in approving medicinal products destined for Northern Ireland. A single UK-wide MA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21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the MHRA put in place a new international recognition framework which means that the MHRA may have regard to decisions on the approval of marketing authorizations made by the EMA and certain other regulators when determining an application for a new UK marketing authorization.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Controls</w:t>
      </w:r>
    </w:p>
    <w:p>
      <w:pPr>
        <w:spacing w:after="0" w:line="224"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All new marketing authorization applications, or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w:t>
      </w:r>
    </w:p>
    <w:p>
      <w:pPr>
        <w:spacing w:after="0" w:line="22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Medicinal products may only be manufactured in the EU, or imported into the EU from another country, by the holder of a manufacturing authorization from the competent national authority. The manufacturer or importer must have a qualified person who is responsible for certifying that each batch of product has been manufactured in accordance with EU standards of cGMP before releasing the product for commercial distribution in the EU or for use in a clinical trial. Manufacturing facilities are subject to periodic inspections by the competent authorities for compliance with cGMP.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Pricing and Reimbursement</w:t>
      </w:r>
    </w:p>
    <w:p>
      <w:pPr>
        <w:spacing w:after="0" w:line="22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Governments influence the price of medicinal products in the EU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healthcare costs in general, particularly prescription medicines, has become very intense. As a result, increasingly high barriers are being erected to the entry of new products.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the aforementioned EU rules are generally applicable in the EEA.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 Regulation</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addition to regulations in the United States, we are subject to a variety of foreign regulations governing preclinical studies, clinical studies, manufacturing, distribution and commercial sales and distribution of our product candidates to the extent we choose to sell any products outside of the United States. While we have obtained FDA approval for NEXLETOL and NEXLIZET, and approval from the EC and Swissmedic for NILEMDO and NUSTENDI, and whether or not we obtain FDA, EC, or Swissmedic approval for any future product candidate (or additional indication), we must obtain approval of a product or clinical trial application by the comparable regulatory authorities of foreign countries before we can commence clinical studies or marketing of the product in those countries. The approval process varies from country to country and the time may be longer or shorter than that required for FDA approval. The requirements governing the conduct of preclinical studies, clinical studies, manufacturing,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76"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2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order to achieve the goals and expectations of our Company, it is crucial that we continue to attract and retain top talent. To facilitate talent attraction and retention, we strive to make Esperion a safe and rewarding workplace, with opportunities for our employees to grow and develop in their careers, supported by strong compensation, benefits and health and wellness programs, and by programs that build connections between our employees. As of December 31, 2024, we had 304 full-time employees. Five of our employees have Ph.D. degrees, two have M.D. degrees and twenty have PharmD degrees. 38 of our employees are engaged in research and development activities. None of our employees are represented by labor unions or covered by collective bargaining agreements. We consider our relationship with our employees to be good.</w:t>
      </w:r>
    </w:p>
    <w:p>
      <w:pPr>
        <w:spacing w:after="0" w:line="16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7"/>
          <w:szCs w:val="17"/>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8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We provide robust compensation and benefits programs to help meet the needs of our employees. In addition to salaries, these programs include potential annual discretionary bonuses, stock awards, a 401(k) Plan, healthcare and insurance benefits, health savings and flexible spending accounts, paid time off, family leave, and flexible work schedules, among others. In addition to our broad-based equity award programs, we have used targeted equity-based grants with vesting conditions to facilitate retention of personnel, particularly those with critical drug development and commercialization skills and experience.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4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11,500 square feet of office space. We believe that our existing facilities are adequate for our current needs.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DSE Litigation</w:t>
      </w:r>
    </w:p>
    <w:p>
      <w:pPr>
        <w:spacing w:after="0" w:line="24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we filed an amended complaint against DSE in the Southern District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of New York which seeks a judicial declaration, on an expedited basis, that DSE is contractually required to make a $300 million milestone payment to us upon applicable regulatory approval. On June 20, 2023, DSE filed a response to our amended complaint.</w:t>
      </w:r>
    </w:p>
    <w:p>
      <w:pPr>
        <w:spacing w:after="0" w:line="17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DSE to amicably resolve and dismiss the commercial dispute that was pending in the Southern District of New York, or the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ASCVD. The legal action pending in the United States District Court for the Southern District of New York was subsequently dismissed.</w:t>
      </w:r>
    </w:p>
    <w:p>
      <w:pPr>
        <w:spacing w:after="0" w:line="19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we entered into a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The DSE Amendment and the DS Amendment grant each of DSE and DS exclusive rights for clinical development, regulatory activities, manufacture and commercialization of a bempedoic acid/ezetimibe/statin triple combination pill in their existing respective territories of the EEA, UK, Switzerland and Turkey, or the DSE Territory, and South Korea, Taiwan, Hong Kong, Thailand, Vietnam, Brazil, Macao, Cambodia and Myanmar, or the DS Territory. Further, after a transition period, DSE and DS will assume sole responsibility for the manufacture of NILEMDO and NUSTENDI for, respectively, the DSE Territory and DS Territory. As of January 2, 2024, DSE has sole authority and control of regulatory communications with the EMA regarding the pending marketing authorization applications for NILEMDO and NUSTENDI.</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ANDA Litigation</w:t>
      </w:r>
    </w:p>
    <w:p>
      <w:pPr>
        <w:spacing w:after="0" w:line="22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Under the Hatch-Waxman Act to the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NDA or entry of judgment holding the patents invalid, unenforceable, or not infringed, whichever occurs first.</w:t>
      </w:r>
    </w:p>
    <w:p>
      <w:pPr>
        <w:spacing w:after="0" w:line="19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an affiliate); Dr. Reddy’s Laboratories Inc. (along with an affiliate); Hetero USA Inc. (along with affiliates); Micro Labs USA Inc. (along with an affiliate);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The trial is anticipated to begin no earlier than January 2027, but no trial date has been set.</w:t>
      </w:r>
    </w:p>
    <w:p>
      <w:pPr>
        <w:spacing w:after="0" w:line="21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Our website address is www.esperion.com. Our Annual Reports on Form 10-K, Quarterly Reports on Form 10-Q, Current Reports on Form 8-K and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 In addition, we regularly use our website to post information regarding our business, product development programs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governance, and we encourage investors to use our website, particularly the investor relations page, as a source of information about us. Information on our website is not part of this Annual Report on Form 10-K or any of our other securities filings unless specifically incorporated herein by reference. We have included our website address in this Annual Report on Form 10-K solely as an inactive textual reference. Alternatively, these reports may be accessed at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Except for the historical information contained herein or incorporated by reference, this Annual Report on Form 10-K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Annual Report on Form 10-K. Factors that could cause or contribute to these differences include, but are not limited to, those discussed in the following section, as well as those discussed in Part II, Item 7 entitled “Management’s Discussion and Analysis of Financial Condition and Results of Operations” and elsewhere throughout this Annual Report on Form 10-K and in any documents incorporated in this Annual Report on Form 10-K by reference.</w:t>
      </w:r>
    </w:p>
    <w:p>
      <w:pPr>
        <w:spacing w:after="0" w:line="19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7"/>
          <w:szCs w:val="17"/>
          <w:i w:val="1"/>
          <w:iCs w:val="1"/>
          <w:color w:val="auto"/>
        </w:rPr>
        <w:t>You should consider carefully the following risk factors, together with all of the other information included or incorporated in this Annual Report on Form 10-K. If any of the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00" w:lineRule="exact"/>
        <w:rPr>
          <w:sz w:val="20"/>
          <w:szCs w:val="20"/>
          <w:color w:val="auto"/>
        </w:rPr>
      </w:pP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Risks Related to our Business and Commercialization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Business Development and Commercialization</w:t>
      </w:r>
    </w:p>
    <w:p>
      <w:pPr>
        <w:spacing w:after="0" w:line="21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depend almost entirely on the success of two products, bempedoic acid and the bempedoic acid / ezetimibe combination tablet. There is no assurance that our commercialization efforts in the U.S. and our partner's efforts, including DSE, DS and Otsuka, with respect to either product will be successful or that we will be able to generate revenues at the levels or within the timing we expect or at the levels or within the timing necessary to support our corporate goals.</w:t>
      </w:r>
    </w:p>
    <w:p>
      <w:pPr>
        <w:spacing w:after="0" w:line="1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2024, we generated $115.7 million in net revenues from the sale of products in the U.S. Our products, NEXLETOL (bempedoic acid) tablet and NEXLIZET (bempedoic acid and ezetimibe) tablet, were approved by the FDA in February 2020. NEXLETOL became commercially available in the U.S. in March 2020 and NEXLIZET became commercially available in the U.S. in June 2020. On April 6, 2020, we announced that the EC approved NILEMDO (bempedoic acid) and NUSTENDI (bempedoic acid and ezetimibe) tablet for the treatment of hypercholesterolemia and mixed dyslipidemia. The decision is applicable to all 27 EU member states plus the UK, Iceland, Norway and Liechtenstein. NILEMDO and NUSTENDI are the branded product names for bempedoic acid and the bempedoic acid / ezetimibe combination tablet in Europe. Since 2020, Daiichi Sankyo Europe launched NILEMDO and NUSTENDI in multiple EU countries including the UK, Switzerland. Daiichi Sankyo Europe also received approvals for NILEMDO and NUSTENDI in Turkey for LDL-C lowering. DS received its first regional approval for NILEMDO and NUSTENDI in Hong Kong and launched in late 2023 and received additional approvals in the DS Territory in 2024. NILEMDO and NUSTENDI are approved in Thailand, Myanmar, Macau and NILEMDO is approved in Taiwan. On March 22, 2024, we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 On May 22, 2024, we announced that the EC approved the label update of both NILEMDO and NUSTENDI as treatments for hypercholesterolemia and to reduce the risk of adverse cardiovascular events. Similarly, the label update for both NILEMDO and NUSTENDI as treatments for hypercholesterolemia and to reduce the risk of adverse cardiovascular events were approved in the United Kingdom on June 6, 2024. Switzerland approved similar label updates for NUSTENDI on November 15, 2024 and for NILEMDO on January 31, 2025. NILEMDO and NUSTENDI are approved to reduce cardiovascular risk in patients with or at high risk for ASCVD. On November 26, 2024, we announced that Otsuka submitted a NDA to the Japanese Ministry of Health, Labour and Welfare for the manufacture and sale of bempedoic acid in Japan for the treatment of hypercholesterolemia and familial hypercholesterolemia. On December 2, 2024, we also announced that we had filed New Drug Submissions (NDSs) to Health Canada for NEXLETOL and NEXLIZET. There is no assurance that the ongoing commercial launches will be successful or that the planned additional launches will occur on the timing we anticipate and generate the revenues we expect. We may encounter delays or hurdles related to our launches that affect timing.</w:t>
      </w:r>
    </w:p>
    <w:p>
      <w:pPr>
        <w:spacing w:after="0" w:line="17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Our business currently depends heavily on our ability to successfully commercialize NEXLETOL and NEXLIZET in the U.S. to treat patients for cardiovascular risk reduction and expanded LDL-C lowering in both primary and secondary prevention patients. We may never be able to successfully commercialize the products even with their expanded indications or meet our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expectations with respect to revenues. Prior to our launch in March 2020, we had never marketed, sold or distributed for commercial use any pharmaceutical product. There is no guarantee that the infrastructure, systems, processes, policies, personnel, relationships and materials we have built and may alter to commercialize these products in the U.S. will be sufficient for us to achieve success at the levels we expect. Additionally, healthcare providers may not widely accept a new treatment paradigm for primary and secondary prevention patients. We may also encounter challenges related to reimbursement of bempedoic acid and the bempedoic acid / ezetimibe combination tablet, even if we have positive early indications from payors, including potential limitations in the scope, breadth, availability, or amount of reimbursement covering each product. Additionally, coverage by a third-party payor does not guarantee reimbursement. For example, the terms of certain agreements require or may require practitioners to seek prior authorization from the third-party payor. Payors have implemented prior authorization requirements for our products which has impacted utilization and, thus, our ability to generate revenue from commercial sales of NEXLIZET and NEXLETOL in the United States. The Company implemented a prior authorization support program to support patients and physician practices in facilitating prior authorizations. If patients continue to experience difficulty in obtaining prior authorization for our products and/or our programs on a timely basis, this may adversely impact ongoing sales of our products.</w:t>
      </w:r>
    </w:p>
    <w:p>
      <w:pPr>
        <w:spacing w:after="0" w:line="2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We have obtained regulatory approval from the FDA, the EMA, UK MHRA, and Swissmedic for both of our leading product candidates for cardiovascular risk reduction and expanded LDL-C lowering in both primary and secondary prevention patients. We have obtained regulatory approval from Health Authorities in Turkey, Hong Kong, Thailand, Myanmar, Macau for LDL-C lowering for both products and from Taiwan TFDA for NILEMDO. However, we cannot be certain that we will be able to obtain approval from regulatory authorities in other territories we (or our partners) decide to pursue, or successfully commercialize our products and any future product candidates. Additionally, we cannot be certain that we will be able to obtain approval for either of our candidates for any other indication or approval of any future product candidates.</w:t>
      </w:r>
    </w:p>
    <w:p>
      <w:pPr>
        <w:spacing w:after="0" w:line="16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Bempedoic acid and the bempedoic acid / ezetimibe combination tablet may require substantial additional clinical development, testing, and regulatory approvals before we are permitted to commence their commercialization in markets outside of the U.S. and Europe for an LDL-C lowering or cardiovascular risk reduction indication. The clinical studies, manufacturing and marketing of our products and any future product candidates are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preclinical testing and clinical studies that the product candidate is safe and effective for use in each target indication. This process can take many years and require the expenditure of substantial resources, and may include post-marketing studies and surveillance. Of the large number of drugs in development in the U.S., only a small percentage successfully complete the approval process at the FDA, EMA or any other foreign regulatory agency, and are commercialized. Accordingly, we cannot assure you that bempedoic acid and</w:t>
      </w:r>
    </w:p>
    <w:p>
      <w:pPr>
        <w:spacing w:after="0" w:line="12"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7"/>
          <w:szCs w:val="17"/>
          <w:color w:val="auto"/>
        </w:rPr>
        <w:t>the bempedoic acid / ezetimibe combination tablet or any other of our product candidates we may develop will be successfully developed or commercialized in any other territory.</w:t>
      </w:r>
    </w:p>
    <w:p>
      <w:pPr>
        <w:spacing w:after="0"/>
        <w:rPr>
          <w:sz w:val="20"/>
          <w:szCs w:val="20"/>
          <w:color w:val="auto"/>
        </w:rPr>
      </w:pPr>
      <w:r>
        <w:rPr>
          <w:rFonts w:ascii="Times New Roman" w:cs="Times New Roman" w:eastAsia="Times New Roman" w:hAnsi="Times New Roman"/>
          <w:sz w:val="17"/>
          <w:szCs w:val="17"/>
          <w:color w:val="auto"/>
        </w:rPr>
        <w:t>We are not permitted to market our product candidates in the U.S., in Europe or any other approved territory for any other indication until we receive approval of an NDA supplement from the FDA, MAA, from the EC, or in any other foreign countries until we receive the requisite approval from such countries. Additionally, we may decide to submit a supplemental NDA or MAA in the future for bempedoic acid and the bempedoic acid / ezetimibe combination tablet for other indications. As a condition to submitting an NDA supplement or MAA for bempedoic acid to treat patients with hypercholesterolemia for a CVD risk reduction indication, we completed the CLEAR Outcomes CVOT, and we have used the data from this trial to support further regulatory submissions and may use it to support additional regulatory submissions in the future.</w:t>
      </w:r>
    </w:p>
    <w:p>
      <w:pPr>
        <w:spacing w:after="0" w:line="217"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Obtaining approval of an NDA or MAA is a complex, lengthy, expensive and uncertain process, and the FDA or EMA may delay, limit or deny approval of bempedoic acid and the bempedoic acid / ezetimibe combination tablet for many reasons, including, among others:</w:t>
      </w:r>
    </w:p>
    <w:p>
      <w:pPr>
        <w:spacing w:after="0" w:line="151"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or adopt new regulations;</w:t>
      </w:r>
    </w:p>
    <w:p>
      <w:pPr>
        <w:spacing w:after="0" w:line="217"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for an LDL-C lowering indication for bempedoic acid and the bempedoic acid / ezetimibe combination tablet if there is a shift in the future standard-of-care for statin intolerant patients with hypercholesterolemia;</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with regard to a CVD risk reduction indication;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studies may not meet the level of statistical or clinical significance required by the FDA or EMA for marketing approval;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0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magnitude of the treatment effect must also be clinically meaningful along with the drug’s safety for a favorable benefit/risk assessment by the FDA, EMA or any other regulatory agency;</w:t>
      </w:r>
    </w:p>
    <w:p>
      <w:pPr>
        <w:spacing w:after="0" w:line="151"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change in the future the number, design, size, duration, patient enrollment criteria, exposure of patients, or conduct or implementation of our clinical studies;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require that we conduct additional clinical studies;</w:t>
      </w:r>
    </w:p>
    <w:p>
      <w:pPr>
        <w:spacing w:after="0" w:line="21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approve the formulation, specifications or labeling of bempedoic acid and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CROs, that we retain to conduct our clinical studies may take actions outside of our control that materially adversely impact our clinical studies;</w:t>
      </w:r>
    </w:p>
    <w:p>
      <w:pPr>
        <w:spacing w:after="0" w:line="21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find the data from preclinical studies and clinical studies insufficient to demonstrate that the clinical and other benefits of bempedoic acid and the bempedoic acid / ezetimibe combination tablet outweigh the safety risks;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disagree with our interpretation of data from our preclinical studies and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accept data generated at our clinical study sites;</w:t>
      </w:r>
    </w:p>
    <w:p>
      <w:pPr>
        <w:spacing w:after="0" w:line="217" w:lineRule="exact"/>
        <w:rPr>
          <w:rFonts w:ascii="Times New Roman" w:cs="Times New Roman" w:eastAsia="Times New Roman" w:hAnsi="Times New Roman"/>
          <w:sz w:val="17"/>
          <w:szCs w:val="17"/>
          <w:color w:val="auto"/>
        </w:rPr>
      </w:pPr>
    </w:p>
    <w:p>
      <w:pPr>
        <w:jc w:val="both"/>
        <w:ind w:left="620" w:right="20" w:hanging="307"/>
        <w:spacing w:after="0" w:line="270"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NDAs are reviewed by an advisory committee, the FDA may have difficulties scheduling an advisory committee meeting in a timely manner or the advisory committee may recommend against approval of our applications or may recommend that the FDA require, as a condition of approval, additional preclinical studies or clinical studies, limitations in approved labeling or distribution and use restrictions;</w:t>
      </w:r>
    </w:p>
    <w:p>
      <w:pPr>
        <w:spacing w:after="0" w:line="16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require the development of a REMS as a condition of approval or post-approval; or</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approve the manufacturing processes or facilities of third-party manufacturers with which we contract.</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Any of these factors, many of which are beyond our control, could jeopardize our ability to obtain regulatory approval for and successfully market bempedoic acid and the bempedoic acid / ezetimibe combination tablet or any other product candidate. Moreover, because our business is almost entirely dependent upon these products, any setback in our pursuit of initial or additional regulatory approvals would have a material adverse effect on our business and prospects.</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development and approvals required for the approval of the bempedoic acid / ezetimibe combination tablet are substantially identical to those for bempedoic acid, and the risks relating to the clinical development and approval of bempedoic acid apply equally to the bempedoic acid / ezetimibe combination tablet. Any failure in our development of bempedoic acid would materially and adversely affect our ability to develop, seek approval for and commercialize the bempedoic acid / ezetimibe combination tablet for the planned indications. In addition, even if bempedoic acid succeeds in its clinical development and is approved for one or more indications, there can be no assurance that the bempedoic acid / ezetimibe combination tablet would be developed successfully and approved for the same indications or at all, and vice versa.</w:t>
      </w:r>
    </w:p>
    <w:p>
      <w:pPr>
        <w:spacing w:after="0" w:line="17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as a commercial company and the marketing and sale of bempedoic acid and the bempedoic acid / ezetimibe combination tablet or any future approved drugs may be unsuccessful or less successful than anticipated.</w:t>
      </w:r>
    </w:p>
    <w:p>
      <w:pPr>
        <w:spacing w:after="0" w:line="13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While we have commercially launched our approved drugs in the U.S. and DSE and DS have commercially launched in multiple countries in the EU and Asia,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selling bempedoic acid and the bempedoic acid / ezetimibe combination tablet in their current and planned future indications, we will need to successfully:</w:t>
      </w:r>
    </w:p>
    <w:p>
      <w:pPr>
        <w:spacing w:after="0" w:line="265"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establish and maintain our relationships with healthcare providers who will be treating the patients who may receive our drugs and any future drugs;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19" w:lineRule="exact"/>
        <w:rPr>
          <w:rFonts w:ascii="Arial" w:cs="Arial" w:eastAsia="Arial" w:hAnsi="Arial"/>
          <w:sz w:val="21"/>
          <w:szCs w:val="21"/>
          <w:color w:val="auto"/>
        </w:rPr>
      </w:pPr>
    </w:p>
    <w:p>
      <w:pPr>
        <w:ind w:left="5540"/>
        <w:spacing w:after="0"/>
        <w:rPr>
          <w:rFonts w:ascii="Arial" w:cs="Arial" w:eastAsia="Arial" w:hAnsi="Arial"/>
          <w:sz w:val="21"/>
          <w:szCs w:val="21"/>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obtain adequate pricing and reimbursement for bempedoic acid and the bempedoic acid / ezetimibe combination tablet and any future drugs;</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develop and maintain successful strategic alliances; and</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manage our spending for clinical trials, marketing approvals, and commercialization.</w:t>
      </w:r>
    </w:p>
    <w:p>
      <w:pPr>
        <w:spacing w:after="0" w:line="203"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If we are unsuccessful in accomplishing these objectives, we may not be able to successfully commercialize bempedoic acid and the bempedoic acid / ezetimibe combination tablet or any future drug candidates, raise capital, expand our business, or continue our operations.</w:t>
      </w:r>
    </w:p>
    <w:p>
      <w:pPr>
        <w:spacing w:after="0" w:line="145" w:lineRule="exact"/>
        <w:rPr>
          <w:sz w:val="20"/>
          <w:szCs w:val="20"/>
          <w:color w:val="auto"/>
        </w:rPr>
      </w:pPr>
    </w:p>
    <w:p>
      <w:pPr>
        <w:ind w:right="5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commercialization of the bempedoic acid / ezetimibe combination tablet in the U.S. and Europe and in other territories, depends on the continued availability of ezetimibe.</w:t>
      </w:r>
    </w:p>
    <w:p>
      <w:pPr>
        <w:spacing w:after="0" w:line="14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bempedoic acid / ezetimibe combination tablet is dependent on the continued availability of ezetimibe in the marketplace, and there can be no assurance that the current availability of ezetimibe will continue. The producers of ezetimibe are under no obligation to continue producing, commercializing or making ezetimibe available to patients, or to continue producing ezetimibe in any particular quantity, which could prevent our ability to obtain ezetimibe. For example, such producers may encounter manufacturing or other production issues and fail to produce enough ezetimibe, and this could cause our commercialization efforts to fail or be significantly delayed.</w:t>
      </w:r>
    </w:p>
    <w:p>
      <w:pPr>
        <w:spacing w:after="0" w:line="167"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reliance on sole source third-party suppliers could harm our ability to commercialize bempedoic acid and the bempedoic acid / ezetimibe combination tablet or any drug candidates that may be approved in the future.</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have scaled up our manufacturing process for bempedoic acid and the bempedoic acid / ezetimibe combination tablet in order to meet our estimated commercial requirements. We do not currently own or operate manufacturing facilities for the production of bempedoic acid and the bempedoic acid / ezetimibe combination tablet or any future drug candidates that may be approved in the future. We may rely on sole source third-party suppliers to manufacture and supply bempedoic acid and the bempedoic acid / ezetimibe combination tablet which may not be able to produce sufficient inventory to meet commercial demand in a cost-efficient, timely manner, or at all. Our third-party suppliers may not be required to, or may be unable to, provide us with any guaranteed minimum production levels or have sufficient dedicated capacity for our drugs. As a result, there can be no assurances that we will be able to obtain sufficient quantities of bempedoic acid and the bempedoic acid / ezetimibe combination tablet or any drug candidates that may be approved in the future, which could have a material adverse effect on our business as a whole.</w:t>
      </w:r>
    </w:p>
    <w:p>
      <w:pPr>
        <w:spacing w:after="0" w:line="173"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other territories in Asia, and even if we receive such approval in other markets, we may still face future development, ongoing regulatory oversight and regulatory difficulties.</w:t>
      </w:r>
    </w:p>
    <w:p>
      <w:pPr>
        <w:spacing w:after="0" w:line="1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Even though we have received marketing approval for bempedoic acid and the bempedoic acid / ezetimibe combination tablet in the U.S. and Europe and other territories in Asia, and even if we receive such approval in other markets, regulatory authorities may still impose significant restrictions on bempedoic acid or the bempedoic acid / ezetimibe combination tablet’s indicated uses or marketing or impose ongoing requirements for potentially costly post-approval studies. Bempedoic acid and the bempedoic acid / ezetimibe combination tablet will also be subject to ongoing FDA requirements governing the packaging, storage, labeling, advertising and promotion of the product, recordkeeping and submission of safety updates and other post-marketing information. The FDA has significant post-marketing authority, including, for example, the authority to require labeling changes based on new safety information and to require post-marketing studies or clinical studies to evaluate serious safety risks related to the use of a drug product. For example, 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such as the FDA has imposed and we have agreed to for NEXLETOL and NEXLIZET. Specifically, as part of our NEXLETOL and NEXLIZET approval, the FDA required both a PK/PD and Phase 3 study evaluating bempedoic acid in patients with HeFH aged 10 years to less than 18 years, a worldwide descriptive study that collects prospective and retrospective data in women exposed to NEXLETOL and NEXLIZET during pregnancy to assess the risk of pregnancy and maternal complications, adverse effects on the developing fetus and neonate, and adverse effects on the infant through the first year of life, a lactation study to analyze milk in lactating women who have received therapeutic doses of NEXLETOL and NEXLIZET, and that we complete the CLEAR Outcomes CVOT trial.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 candidates under development.</w:t>
      </w:r>
    </w:p>
    <w:p>
      <w:pPr>
        <w:spacing w:after="0" w:line="17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EMA and other foreign regulatory authorities may impose similar requirements on bempedoic acid or the bempedoic acid / ezetimibe combination tablet as those described above with respect to the FDA.</w:t>
      </w:r>
    </w:p>
    <w:p>
      <w:pPr>
        <w:spacing w:after="0" w:line="1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Manufacturers of drug products and their facilities are subject to continual review and periodic unannounced inspections by the FDA and other regulatory authorities for compliance with current cGMP and other regulations.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if we or a regulatory agency discover problems with bempedoic acid or the bempedoic acid / ezetimibe combination tablet, such as adverse events of unanticipated severity or frequency, or problems with the facility where bempedoic acid or the bempedoic acid / ezetimibe combination tablet is manufactured, a regulatory agency may impose restrictions on bempedoic acid or the bempedoic acid / ezetimibe combination tablet, the manufacturer or us, including requiring withdrawal of bempedoic acid or the bempedoic acid / ezetimibe combination tablet from the market or suspension of manufacturing. Additionally, under the Food and Drug Omnibus Reform Act of 2020, or FDORA, sponsors of approved drugs must provide 6 months’ notice to the FDA of any changes in marketing status, such as the withdrawal of a drug, and failure to do so could result in the FDA placing the product on a list of discontinued products, which would revoke the product’s ability to be marketed. If we, bempedoic acid or the bempedoic acid / ezetimibe combination tablet or the manufacturing facilities for bempedoic acid or the bempedoic acid / ezetimibe combination tablet fail to comply with applicable regulatory requirements, a regulatory agency may, among other things:</w:t>
      </w:r>
    </w:p>
    <w:p>
      <w:pPr>
        <w:spacing w:after="0" w:line="222"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warning letters or untitled letters;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an injunction or impose civil or criminal penalties or monetary fines;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withdraw marketing approval;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any ongoing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approve pending applications or supplements to applications submitted by us;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impose restrictions on operations, including costly new manufacturing requirements;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seize or detain products, refuse to permit the import or export of products, or request that we initiate a product recall.</w:t>
      </w:r>
    </w:p>
    <w:p>
      <w:pPr>
        <w:spacing w:after="0" w:line="24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 making process, any of which could adversely impact our business and operations.</w:t>
      </w:r>
    </w:p>
    <w:p>
      <w:pPr>
        <w:spacing w:after="0" w:line="199"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FDA, EMA or other comparable foreign regulatory authorities approve generic or other versions of bempedoic acid or the bempedoic acid / ezetimibe combination tablet, the sales of our approved products could be adversely affected.</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Once an NDA, is approved, the product covered thereby becomes a “reference listed drug” in the FDA’s publication, “Approved Drug Products with Therapeutic Equivalence Evaluations,” commonly known as the Orange Book. Under the Hatch-Waxman Act to the FDCA, a company may seek approval of generic versions of reference listed drugs through submission of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an NCE, may be eligible for five years of marketing exclusivity in the United States following regulatory approval if that drug is classified as an NCE. A drug can be classified as a NCE if the FDA has not previously approved any other drug containing the same active moiety.</w:t>
      </w:r>
    </w:p>
    <w:p>
      <w:pPr>
        <w:spacing w:after="0" w:line="20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NDA is stayed for up to 30 months, or as lengthened or shortened by a court.</w:t>
      </w:r>
    </w:p>
    <w:p>
      <w:pPr>
        <w:spacing w:after="0" w:line="2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 may submit its application four years following approval of the reference listed drug, e.g., February 21, 2024, for NEXLETOL. Competitors may seek to launch generic or 505(b)(2) versions of NEXLETOL following the expiration of the applicable exclusivity period for NEXLETOL, even if we still have regulatory exclusivity and/or patent protection for NEXLETOL, and the same could happen for any of our other drug products upon approval.</w:t>
      </w:r>
    </w:p>
    <w:p>
      <w:pPr>
        <w:spacing w:after="0" w:line="20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Starting in March 2024, we received notices from each ANDA Filer that each company had filed an ANDA with the FDA seeking approval of a generic version of NEXLETOL and/or NEXLIZET, as applicable. The ANDAs each contained Paragraph IV certifications alleging that certain of our patents covering NEXLETOL or NEXLIZET, as applicable, are invalid and/or will not be infringed by each ANDA Filer's manufacture, use or sale of the medicine for which the ANDA was submitted.</w:t>
      </w:r>
    </w:p>
    <w:p>
      <w:pPr>
        <w:spacing w:after="0" w:line="18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color w:val="auto"/>
        </w:rPr>
        <w:t>Beginning in May 2024, we filed patent infringement lawsuits under the Hatch-Waxman Act in the United States District Court, District of New Jersey, against each ANDA Filer. Our complaints allege that by filing the applicable ANDA, such ANDA Filer has infringed NEXLETOL's and/or NEXLIZET's Orange Book patents, as applicable, included in its Paragraph IV certifications, and seek an injunction preventing FDA from granting final approval of the ANDA before the expiration of the asserted patents, and a permanent injunction to prevent the ANDA Filer from commercializing a generic version of NEXLETOL and/or NEXLIZET, as applicable, until the expiration of the asserted patents. The trial is anticipated to begin no earlier than January 2027, but no trial date has been set.</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success of such litigation will depend on the strength of the patents covering NEXLETOL or NEXLIZET, as applicable, and our ability to prove infringement. The outcome of such litigation will be inherently uncertain and may result in potential loss of market exclusivity for NEXLETOL and/or NEXLIZET. Competition that NEXLETOL or NEXLIZET could face from an approved generic and other versions of NEXLETOL or NEXLIZET could materially and adversely affect our future revenue, profitability, and cash flows and substantially limit our ability to obtain a return on the investments we have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made in developing NEXLETOL and NEXLIZET. Furthermore, the FTC, has brought lawsuits to challenge ANDA litigation settlements as anti-competitive. If we settle any ANDA litigation, we may also face an FTC challenge with respect to the related settlement which may result in additional expense or penalty.</w:t>
      </w:r>
    </w:p>
    <w:p>
      <w:pPr>
        <w:spacing w:after="0" w:line="171"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the False Claims Act, laws and regulations related to the reporting of payments to physicians and teaching hospitals, and HIPAA, which may constrain the business or financial arrangements and relationships through which such companies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 xml:space="preserve">Additionally, we are subject to state and foreign equivalents of each of the healthcare laws described in the section entitled </w:t>
      </w:r>
      <w:r>
        <w:rPr>
          <w:rFonts w:ascii="Times New Roman" w:cs="Times New Roman" w:eastAsia="Times New Roman" w:hAnsi="Times New Roman"/>
          <w:sz w:val="17"/>
          <w:szCs w:val="17"/>
          <w:i w:val="1"/>
          <w:iCs w:val="1"/>
          <w:color w:val="auto"/>
        </w:rPr>
        <w:t>“Business – Other Healthcare Laws”,</w:t>
      </w:r>
      <w:r>
        <w:rPr>
          <w:rFonts w:ascii="Times New Roman" w:cs="Times New Roman" w:eastAsia="Times New Roman" w:hAnsi="Times New Roman"/>
          <w:sz w:val="17"/>
          <w:szCs w:val="17"/>
          <w:color w:val="auto"/>
        </w:rPr>
        <w:t xml:space="preserve"> among others, some of which may be broader in scope and may apply regardless of the payor. For instance, state anti-kickback and false claims laws may apply to items or services reimbursed by any third-party payor, including commercial insurers or patients. Laws related to insurance fraud may provide claims involving private insurers. Further data privacy and security laws and regulations in foreign jurisdictions that may be more stringent than those in the U.S. (such as the EU, which adopted the GDPR, which became effective in May 2018). Analogous state laws may additionally govern the privacy and security of health information in certain circumstances, many of which differ from each other in significant ways and may not have the same effect.</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While we currently do not do so it is possible that we may in the future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w:t>
      </w:r>
    </w:p>
    <w:p>
      <w:pPr>
        <w:spacing w:after="0" w:line="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increase our expenses, and reduce the availability of foundation support for our patients who need assistance. Further,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w:t>
      </w:r>
    </w:p>
    <w:p>
      <w:pPr>
        <w:spacing w:after="0" w:line="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financial condition. Although a number of these and other proposed measures may require authorization through additional legislation to become effective, and the Trump administration may reverse or otherwise change these measures, both the Trump administration and Congress have indicated that they will continue to seek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legislative measures to control drug costs. We cannot predict how the implementation of and any further changes to these rules will affect our business.</w:t>
      </w:r>
    </w:p>
    <w:p>
      <w:pPr>
        <w:spacing w:after="0" w:line="2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often scrutinize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failure to comply with any of these laws or regulatory requirements subjects entities to possible legal or regulatory action. Depending on the circumstances, failure to meet applicable regulatory requirements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 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guidance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Formulary Coverage, Pricing, and Reimbursement policies could limit our ability to sell bempedoic acid or the bempedoic acid / ezetimibe combination tablet.</w:t>
      </w:r>
    </w:p>
    <w:p>
      <w:pPr>
        <w:spacing w:after="0" w:line="22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Sales of our products will depend, in part, on the extent to which our products will be covered and reimbursed by third-party payers, such as government health programs, commercial insurance and managed healthcare organizations. Adequate coverage and reimbursement from third party payers are critical to product acceptance. In the United States, the principal decisions about reimbursement for new medicines are typically made by the CMS, an agency within the HHS. CMS decides whether and to what extent our products will be covered and reimbursed under Medicare and private payors tend to follow CMS to a substantial degree.</w:t>
      </w:r>
    </w:p>
    <w:p>
      <w:pPr>
        <w:spacing w:after="0" w:line="10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Market acceptance and sales of bempedoic acid and the bempedoic acid / ezetimibe combination tablet will depend, in part, on the extent to which our products in the U.S. will be covered and reimbursed by third-party payors, such as government health care programs, commercial insurance, and managed healthcare organizations and may be affected by healthcare reform measures. See the section entitled “</w:t>
      </w:r>
      <w:r>
        <w:rPr>
          <w:rFonts w:ascii="Times New Roman" w:cs="Times New Roman" w:eastAsia="Times New Roman" w:hAnsi="Times New Roman"/>
          <w:sz w:val="17"/>
          <w:szCs w:val="17"/>
          <w:i w:val="1"/>
          <w:iCs w:val="1"/>
          <w:color w:val="auto"/>
        </w:rPr>
        <w:t>Business – Coverage, Reimbursement and Healthcare Reform</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Cost containment is a primary concern in the U.S. healthcare industry and elsewhere. Government authorities and these third-party payors have attempted to control costs by limiting coverage and the amount of reimbursement for particular medications. The U.S. federal government, state legislatures and foreign governments have shown significant interest in implementing cost-containment programs, including price controls, restrictions on reimbursement, utilization management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bempedoic acid and the bempedoic acid / ezetimibe combination tablet or a decision by a third-party payor to not cover bempedoic acid and the bempedoic acid / ezetimibe combination tablet could reduce physician usage of the products and could have a material adverse effect on our sales, results of operations and financial condition.</w:t>
      </w:r>
    </w:p>
    <w:p>
      <w:pPr>
        <w:spacing w:after="0" w:line="384"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7"/>
          <w:szCs w:val="17"/>
          <w:color w:val="auto"/>
        </w:rPr>
        <w:t>We cannot be sure that reimbursement will be available for bempedoic acid or the bempedoic acid / ezetimibe combination tablet and, if reimbursement is available, the level of such reimbursement. Reimbursement may impact the demand for, or the price of, bempedoic acid or the bempedoic acid / ezetimibe combination tablet. If reimbursement is not available or is available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at limited levels, we may not be able to successfully commercialize bempedoic acid or the bempedoic acid / ezetimibe combination tablet.</w:t>
      </w:r>
    </w:p>
    <w:p>
      <w:pPr>
        <w:spacing w:after="0" w:line="24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color w:val="auto"/>
        </w:rPr>
        <w:t>There may also be delays in obtaining coverage and reimbursement for newly approved drugs (of new indications for previously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21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addition, increasingly, third-party payors are requiring higher levels of evidence of the benefits and clinical outcomes of new technologies and are challenging prices. We cannot be sure that coverage will be available for any products or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one country to another. An inability to promptly obtain coverage and adequate payment rates from both government-funded and private payors for any of our products or product candidates for which we, or any future collaborator, obtain regulatory approval could significantly harm our operating results, our ability to raise capital needed to commercialize products and our overall financial condition.</w:t>
      </w:r>
    </w:p>
    <w:p>
      <w:pPr>
        <w:spacing w:after="0" w:line="17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In some foreign countries, particularly in Canada, Australia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study that compares the cost-effectiveness of bempedoic acid and the bempedoic acid / ezetimibe combination tablet with other available therapies. If reimbursement for bempedoic acid or the bempedoic acid / ezetimibe combination tablet is unavailable in any country in which we seek reimbursement, if it is limited in scope or amount, if it is conditioned upon our completion of additional clinical studies, or if pricing is set at unsatisfactory levels, our operating results could be materially adversely affected.</w:t>
      </w:r>
    </w:p>
    <w:p>
      <w:pPr>
        <w:spacing w:after="0" w:line="171"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Recent federal legislation may increase pressure to reduce prices of certain pharmaceutical products paid for by Medicare, which could materially adversely affect our revenue and our results of operations.</w:t>
      </w:r>
    </w:p>
    <w:p>
      <w:pPr>
        <w:spacing w:after="0" w:line="14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In the United States,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drug products, we expect that there will be additional pressure to reduce costs. These cost reduction initiatives and other provisions of this legislation could decrease the scope of coverage and the price that we receive for any approved products and could seriously harm our business.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This legislation may pose an even greater risk to bempedoic acid and the bempedoic acid / ezetimibe combination tablet than some other pharmaceutical products because a significant portion of the patient population for bempedoic acid and the bempedoic acid / ezetimibe combination tablet is over 65 years of age and, therefore, many such patients will be covered by Medicare.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predict the reform initiatives that may be adopted in the future or whether initiatives that have been adopted will be repealed or modified. See “</w:t>
      </w:r>
      <w:r>
        <w:rPr>
          <w:rFonts w:ascii="Times New Roman" w:cs="Times New Roman" w:eastAsia="Times New Roman" w:hAnsi="Times New Roman"/>
          <w:sz w:val="17"/>
          <w:szCs w:val="17"/>
          <w:i w:val="1"/>
          <w:iCs w:val="1"/>
          <w:color w:val="auto"/>
        </w:rPr>
        <w:t>Business</w:t>
      </w:r>
    </w:p>
    <w:p>
      <w:pPr>
        <w:spacing w:after="0" w:line="20"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7"/>
          <w:szCs w:val="17"/>
          <w:i w:val="1"/>
          <w:iCs w:val="1"/>
          <w:color w:val="auto"/>
        </w:rPr>
        <w:t>– Coverage, Reimbursement and Healthcare Reform</w:t>
      </w:r>
      <w:r>
        <w:rPr>
          <w:rFonts w:ascii="Times New Roman" w:cs="Times New Roman" w:eastAsia="Times New Roman" w:hAnsi="Times New Roman"/>
          <w:sz w:val="17"/>
          <w:szCs w:val="17"/>
          <w:color w:val="auto"/>
        </w:rPr>
        <w:t>” for more discussion on healthcare reform efforts. The continuing efforts of the government, insurance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managed care organizations and other payors of healthcare services to contain or reduce costs of healthcare may adversely affect:</w:t>
      </w:r>
    </w:p>
    <w:p>
      <w:pPr>
        <w:spacing w:after="0" w:line="216" w:lineRule="exact"/>
        <w:rPr>
          <w:sz w:val="20"/>
          <w:szCs w:val="20"/>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products and any products for which we may obtain regulatory approval;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products;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coverage and reimbursement approval for a product;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revenues and achieve or maintain profitability;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w:t>
      </w:r>
    </w:p>
    <w:p>
      <w:pPr>
        <w:spacing w:after="0" w:line="24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our products and any future approved product.</w:t>
      </w:r>
    </w:p>
    <w:p>
      <w:pPr>
        <w:spacing w:after="0" w:line="19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Finally, the availability of generic LDL-C lowering treatments may also substantially reduce the level of reimbursement for branded counterparts or other competitive LDL-C lowering therapies, such as bempedoic acid or the bempedoic acid / ezetimibe combination tablet. If we fail to successfully secure and maintain adequate reimbursement coverage for our products or are significantly delayed in doing so, we will have difficulty achieving market acceptance of our products and our business will be harmed.</w:t>
      </w:r>
    </w:p>
    <w:p>
      <w:pPr>
        <w:spacing w:after="0" w:line="12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participate in the MDRP, the 340B drug pricing program, and the VA’s FSS pricing program. Under the MDRP,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MDRP. These data include the AMP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20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ACA made significant changes to the MDRP. CMS issued a final regulation, which became effective on April 1, 2016, to implement the changes to the MDRP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MDRP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Medicaid rebate amount for the covered outpatient drug as calculated under the MDRP, and in general, products subject to Medicaid price reporting and rebate liability are also subject to the 340B ceiling price calculation and discount requirement. Any additional future changes to the definition of AMP and the Medicaid rebate amount under the ACA, other legislation, or in regulation could affect our 340B ceiling price calculations and negatively impact our results of operations.</w:t>
      </w:r>
    </w:p>
    <w:p>
      <w:pPr>
        <w:spacing w:after="0" w:line="20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MDRP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20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have knowingly and intentionally charged 340B covered entities more than the statutorily mandated ceiling price. We cannot assure you that our submissions will not be found by CMS or HRSA to be incomplete or incorrect.</w:t>
      </w:r>
    </w:p>
    <w:p>
      <w:pPr>
        <w:spacing w:after="0" w:line="1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collection is governed by restrictive regulations governing the use, processing and cross-border transfer of personal information.</w:t>
      </w:r>
    </w:p>
    <w:p>
      <w:pPr>
        <w:spacing w:after="0" w:line="17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In the event we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EU General Data Protection Regulation 2016/679, or EU GDPR, which became effective on May 25, 2018. Following the UK's withdrawal from the EU on January 31, 2020 and the end of the transitional arrangements agreed between the U.K. and EU as of January 1, 2021, the EU GDPR has been incorporated into U.K. domestic law by virtue of section 3 of the EU (Withdrawal) Act 2018 and amended by the Data Protection, Privacy and Electronic Communications (Amendments etc.) (EU Exit) Regulations 2019, or UK GDPR and, together with the EU GDPR, “GDPR”). The GDPR is wide-ranging in scope and imposes numerous requirements on companies that process personal data, including stricter requirements relating to processing of special categories of personal data (such as health data), ensuring there is a legal basis or condition to justify the processing of personal data, stricter requirements relating to obtaining consent of individuals, expanded disclosures about how personal information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The GDPR also imposes strict rules on the transfer of personal data to countries outside the EEA or the U.K., including the United States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national laws of EU Member States which may partially deviate from the EU GDPR and impose different and more restrictive obligations from country to country.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w:t>
      </w:r>
    </w:p>
    <w:p>
      <w:pPr>
        <w:spacing w:after="0" w:line="21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7"/>
          <w:szCs w:val="17"/>
          <w:color w:val="auto"/>
        </w:rPr>
        <w:t>The U.K. GDPR and the U.K. Data Protection Act 2018 set out the U.K.'s data protection regime, which is independent from but, currently, aligned to the EU's data protection regime. The EC has adopted an adequacy decision in respect of transfers of personal data to the U.K. for a four-year period (until June 27, 2025). Similarly, the U.K. has determined that it considers all of the EEA to be adequate for the purposes of data protection. This ensures that data flows between the U.K. and the EEA remain unaffected. The U.K. Government had introduced a Data Protection and Digital Information Bill which failed to complete U.K. legislative process. A new Data (Use and Access) Bill has been introduced into parliament with the intention for this bill to reform the U.K.’s data protection regime which will likely have the effect of further altering the similarities between the U.K. and EU data protection regime.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addition, we must also ensure that we maintain adequate safeguards to enable the transfer of personal data outside of the EEA or the U.K., in particular to the U.S., in compliance with GDPR. In some cases, we rely upon the EC's approved standard contractual clauses, or the SCCs to legitimize transfers of personal data out of the EEA from controllers or processors established outside the EEA (and not subject to the GDPR). The U.K. is not subject to the EC's standard contractual clauses but has published its own transfer mechanism, the International Data Transfer Agreement, which enables transfers from the U.K. Changes with respect to any of these matters may lead to additional costs and increase our overall risk exposure. The EU and U.S. have adopted its adequacy decision for the EU U.S. Data Privacy Framework, or the Framework, which entered into force on July 11, 2023. This Framework provides that the protection of personal data transferred between the EU and the U.S. is comparable to that offered in the EU. Moreover, on September 21, 2023, the U.K. Government adopted the Data Protection (Adequacy) Regulations 2023, also referred to as the “UK-U.S. Data Bridge”, which will allow companies to transfer personal data from the U.K. to the U.S. on the basis of the EU-U.S. Data Privacy Framework. This provides a further avenue to ensuring transfers to the US are carried out in line with GDPR. The Framework could be challenged like its predecessor frameworks. We will be required to implement these new safeguards in the event these safeguards are used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spacing w:after="0" w:line="20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In the EEA, the NIS 2 Directive, or the NIS 2, is replacing the cybersecurity legal framework under the current NIS framework, aiming to ensure a high level of cybersecurity in the region. NIS 2 brings new medium and large organisations providing services in the EEA within scope of the legal framework. It extends to additional sectors and expands the list of in-scope healthcare organisations, including to certain providers engaged in research and development of medicinal products. The new regime imposes direct obligations on management in respect of an in-scope organization's compliance with NIS 2, requires covered organisations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In the United States, state privacy laws may also have an impact on our business; for example, California enacted the CCPA, which created broad individual privacy rights for California consumers (as defined in the law) and placed stringent privacy and security obligations on business covered by the law. This law, which took effect on January 1, 2020 and became enforceable by the California Attorney General on July 1, 2020, required covered companies to provide detailed disclosures to consumers about such companies' data collection, use and sharing practices, allowed such consumers to opt-out of certain sales or sharing of their personal information. The CCPA also provided for civil penalties for violations and a private right of action for certain data breaches involving personal information, which is expected to increase the likelihood of, and risks associated with, data breach litigation. While there is an exception for protected health information that is subject to HIPAA and clinical trial regulations, the CCPA may impact our business activities if we become a "Business" regulated by the scope of the CCPA or a service provider to a regulated business.</w:t>
      </w:r>
    </w:p>
    <w:p>
      <w:pPr>
        <w:spacing w:after="0" w:line="2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CCPA was amended by the CPRA. As of January 1, 2023, the amendments to the CCPA introduced by the CPRA imposed additional obligations on companies covered by the legislation, including by expanding consumers’ rights with respect to certain sensitive personal information. The amendments introduced by the CPRA also created a new state agency that is vested with authority to implement and enforce the CCPA.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6" w:lineRule="exact"/>
        <w:rPr>
          <w:sz w:val="20"/>
          <w:szCs w:val="20"/>
          <w:color w:val="auto"/>
        </w:rPr>
      </w:pPr>
    </w:p>
    <w:p>
      <w:pPr>
        <w:jc w:val="both"/>
        <w:ind w:right="240"/>
        <w:spacing w:after="0"/>
        <w:rPr>
          <w:sz w:val="20"/>
          <w:szCs w:val="20"/>
          <w:color w:val="auto"/>
        </w:rPr>
      </w:pPr>
      <w:r>
        <w:rPr>
          <w:rFonts w:ascii="Times New Roman" w:cs="Times New Roman" w:eastAsia="Times New Roman" w:hAnsi="Times New Roman"/>
          <w:sz w:val="17"/>
          <w:szCs w:val="17"/>
          <w:color w:val="auto"/>
        </w:rPr>
        <w:t>Following California, numerous other states have enacted or proposed laws similar to the CCPA. In addition to these comprehensive laws and proposals, other states have passed or are considering more limited privacy laws that are specifically focused upon the protection of consumer health data, such as Washington’s My Health My Data Act, which became effective on March 31, 2024 and contains a private right of action, further increasing the relevant compliance risk.</w:t>
      </w:r>
    </w:p>
    <w:p>
      <w:pPr>
        <w:ind w:right="140"/>
        <w:spacing w:after="0" w:line="244" w:lineRule="auto"/>
        <w:rPr>
          <w:sz w:val="20"/>
          <w:szCs w:val="20"/>
          <w:color w:val="auto"/>
        </w:rPr>
      </w:pPr>
      <w:r>
        <w:rPr>
          <w:rFonts w:ascii="Times New Roman" w:cs="Times New Roman" w:eastAsia="Times New Roman" w:hAnsi="Times New Roman"/>
          <w:sz w:val="17"/>
          <w:szCs w:val="17"/>
          <w:color w:val="auto"/>
        </w:rPr>
        <w:t>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existence of comprehensive privacy laws in different states in the country will make our compliance obligations more complex and costly and may increase</w:t>
      </w:r>
    </w:p>
    <w:p>
      <w:pPr>
        <w:spacing w:after="0" w:line="5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likelihood that we may be subject to enforcement actions or otherwise incur liability for noncompliance. The effects of state privacy laws are potentially significant and may require us to modify our data processing practices and policies and to incur substantial costs and potential liability in an effort to comply with such legislation. These various privacy and security laws may impact our business activities, including our identification of research subjects, relationships with business partners and ultimately the marketing and distribution of our products. State laws are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changing rapidly and there is discussion in the U.S. Congress of a new comprehensive federal data privacy law to which we could become subject, if enacted.</w:t>
      </w:r>
    </w:p>
    <w:p>
      <w:pPr>
        <w:spacing w:after="0" w:line="24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Regulators and legislators in the U.S. are also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Compliance with U.S. and international data protection and data security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Failure to comply with U.S. and international data protection and data security laws and regulations could result in government and/or data protection authority enforcement actions (which could include civil or criminal penalties), private litigation or adverse publicity and could negatively affect our financial condition, operating results and prospects,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 as well as significant fines, sanctions, awards, injunctions, penalties or judgments.</w:t>
      </w:r>
    </w:p>
    <w:p>
      <w:pPr>
        <w:spacing w:after="0" w:line="175" w:lineRule="exact"/>
        <w:rPr>
          <w:sz w:val="20"/>
          <w:szCs w:val="20"/>
          <w:color w:val="auto"/>
        </w:rPr>
      </w:pPr>
    </w:p>
    <w:p>
      <w:pPr>
        <w:ind w:right="8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or AI Act which has entered into force on August 1, 2024 and, with some exceptions, becomes effective 24 months thereafter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that are governed by these laws or regulation, we will need to meet higher standards of data quality, transparency,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21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rapid evolution of artificial intelligence may require the application of significant resources to help ensure that artificial intelligence is implemented in accordance with applicable law and regulation and in a socially responsible manner and to minimize any real or perceived unintended harmful impacts. If we, our vendors, or our third-party partners experience an actual or perceived breach or privacy or security incident because of the use of generative artificial intelligence, we may lose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cause us to breach applicable laws and regulations, and adversely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members of our executive management team, and to attract, retain and motivate qualified personnel.</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highly dependent on members of our senior management team. We have entered into employment agreements with these individuals, but any employee may terminate his or her employment with us. Although we do not have any reason to believe that we will lose the services of these individuals in the foreseeable future, the loss of the services of these individuals might impede the achievement of our research, development and commercialization objectives.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studies may make it more challenging to recruit and retain qualified scientific personnel.</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Risks Related to Sales, Marketing, and Competition</w:t>
      </w:r>
    </w:p>
    <w:p>
      <w:pPr>
        <w:spacing w:after="0" w:line="190"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market is subject to intense competition. If we are unable to compete effectively, our opportunity to generate revenue from the sale of bempedoic acid or the bempedoic acid / ezetimibe combination tablet in the U.S., in Europe and in other territories will be materially adversely affected.</w:t>
      </w:r>
    </w:p>
    <w:p>
      <w:pPr>
        <w:spacing w:after="0" w:line="13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The LDL-C and cardiovascular risk lowering therapies market is highly competitive and dynamic and dominated by the sale of inexpensive generic versions of statins. Our success will depend, in part, on our ability to obtain a share of the market, initially, for patient populations consistent with the labeling of our products in jurisdictions where we obtain regulatory approval. Potential competitors in North America, Europe and elsewhere include major pharmaceutical companies, specialty pharmaceutical companies, biotechnology firms, universities and other research institutions and government agencies. Other pharmaceutical companies may develop LDL-C lowering or cardiovascular risk reducing therapies for patients that compete with bempedoic acid and the bempedoic acid / ezetimibe combination tablet that do not infringe the claims of our patents, pending patent applications or other proprietary rights, which could materially adversely affect our business and results of operations.</w:t>
      </w:r>
    </w:p>
    <w:p>
      <w:pPr>
        <w:spacing w:after="0" w:line="202" w:lineRule="exact"/>
        <w:rPr>
          <w:sz w:val="20"/>
          <w:szCs w:val="20"/>
          <w:color w:val="auto"/>
        </w:rPr>
      </w:pPr>
    </w:p>
    <w:p>
      <w:pPr>
        <w:ind w:right="700"/>
        <w:spacing w:after="0" w:line="272" w:lineRule="auto"/>
        <w:rPr>
          <w:sz w:val="20"/>
          <w:szCs w:val="20"/>
          <w:color w:val="auto"/>
        </w:rPr>
      </w:pPr>
      <w:r>
        <w:rPr>
          <w:rFonts w:ascii="Times New Roman" w:cs="Times New Roman" w:eastAsia="Times New Roman" w:hAnsi="Times New Roman"/>
          <w:sz w:val="17"/>
          <w:szCs w:val="17"/>
          <w:color w:val="auto"/>
        </w:rPr>
        <w:t>Lipid lowering and cardiovascular risk reducing therapies currently on the market that compete with bempedoic acid and the bempedoic acid / ezetimibe combination tablet include the following:</w:t>
      </w:r>
    </w:p>
    <w:p>
      <w:pPr>
        <w:spacing w:after="0" w:line="190"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statins;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ezetimibe, a cholesterol absorption inhibitor;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Injectable PCSK9 inhibitors such as Praluent® (alirocumab) and Repatha® (evolocumab), marketed by Regeneron/Sanofi and Amgen Inc. respectively;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Bile acid sequestrants such as Welchol® (colesevelam), marketed by Daiichi Sankyo Inc.;</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MTP inhibitors, such as JUXTAPID® (lomitapide), marketed by Amryt Pharma Plc.;</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Apo B Anti-Sense therapy, such as KYNAMRO® (mipomersen), marketed by Kastle Therapeutics LLC;</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combination tablet therapies, such as ezetimibe and simvastatin;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Triglyceride lowering therapy such as Vascepa® (icosapent ethyl), marketed by Amarin Corporation;</w:t>
      </w:r>
    </w:p>
    <w:p>
      <w:pPr>
        <w:spacing w:after="0" w:line="20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Small interfering RNA therapy, such as Leqvio® (inclisiran), marketed by Novartis;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lipid-lowering monotherapies (including cheaper generic versions), such as Tricor® (fenofibrate) and Niaspan® (niacin extended release), both of which are marketed by AbbVie, Inc.</w:t>
      </w:r>
    </w:p>
    <w:p>
      <w:pPr>
        <w:spacing w:after="0" w:line="177"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Several other pharmaceutical companies have other LDL-C lowering therapies in development that may be approved for marketing in the U.S. or outside of the U.S.</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Many of our potential competitors have substantially greater financial, technical and human resources than we do and significantly greater experience discovering and developing drug candidates, obtaining FDA and other marketing approvals of products and commercializing those products. Accordingly, our competitors may be more successful than we may be in obtaining regulatory approval for drugs and achieving widespread market acceptance. Our competitors’ drugs may be more effective, or more effectively marketed and sold, than bempedoic acid or the bempedoic acid / ezetimibe combination tablet, and may render bempedoic acid or the bempedoic acid / ezetimibe combination tablet obsolete or non-competitive before we can recover the expenses of developing and commercializing it. The bempedoic acid and bempedoic acid / ezetimibe combination tablet may also compete with unapproved and off-label LDL-C lowering treatments, and following the expiration of additional patents covering the LDL-C lowering market, we may also face additional competition from the entry of new generic drugs. We anticipate that we will encounter intense and increasing competition as new drugs enter the market and advanced technologies become available.</w:t>
      </w:r>
    </w:p>
    <w:p>
      <w:pPr>
        <w:spacing w:after="0" w:line="173" w:lineRule="exact"/>
        <w:rPr>
          <w:sz w:val="20"/>
          <w:szCs w:val="20"/>
          <w:color w:val="auto"/>
        </w:rPr>
      </w:pPr>
    </w:p>
    <w:p>
      <w:pPr>
        <w:ind w:right="6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3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The FDA and other regulatory agencies strictly regulate the promotional claims that may be made about prescription products, such as bempedoic acid or the bempedoic acid / ezetimibe combination tablet. In particular, a product may not be promoted for uses that are not approved by the FDA or other regulatory agencies as reflected in the product’s approved labeling. For instance, we received marketing approval for bempedoic acid and the bempedoic acid / ezetimibe combination tablet for cardiovascular risk reduction and expanded LDL-C lowering in both primary and secondary prevention patients. Physicians may in their practice prescribe bempedoic acid and the bempedoic acid / ezetimibe combination tablet to their patients in a manner that is inconsistent with the approved label. If we are found to have promoted such off-label uses, we may become subject to public advisory or enforcement letters, reputational damage, and significant liability. The federal government has levied large civil and criminal fines against companies for alleged improper promotion under both the Federal Anti-kickback Statute and False Claims Act and has enjoined several companies from engaging in off-label promotion. The FDA has also requested that companies enter into consent decrees, corporate integrity agreements or permanent injunctions under which specified promotional conduct is changed or curtailed. If we cannot successfully manage the promotion of bempedoic acid and the bempedoic acid / ezetimibe combination tablet across various promotional media and outreach activities to ensure it remains consistent with its approved labeling, we could become subject to significant liability, which would materially adversely affect our business and financial condition.</w:t>
      </w:r>
    </w:p>
    <w:p>
      <w:pPr>
        <w:spacing w:after="0" w:line="200" w:lineRule="exact"/>
        <w:rPr>
          <w:sz w:val="20"/>
          <w:szCs w:val="20"/>
          <w:color w:val="auto"/>
        </w:rPr>
      </w:pPr>
    </w:p>
    <w:p>
      <w:pPr>
        <w:spacing w:after="0" w:line="202"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several Asian territories, we may never receive regulatory approval to market bempedoic acid or the bempedoic acid / ezetimibe combination tablet in other territories or markets around the world.</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order to market any product outside of the U.S. and Europe, we must establish and comply with the numerous and varying efficacy, safety and other regulatory requirements of the countries in which we (or our partners) intend to market our product. Approval procedures vary among countries and can involve additional product candidate testing and additional administrative review periods. The time required to obtain approvals in other countries might differ from that required to obtain FDA or EMA approval. The marketing approval processes in other countries may include all of the risks detailed above regarding FDA approval in the U.S. as well as other risks, or vice versa. In particular, in many countries outside of the U.S. and Europe,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commercialize bempedoic acid or the bempedoic acid / ezetimibe combination tablet in such foreign markets. Any such impairment would reduce the size of our potential market, which could have a material adverse impact on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several Asian territories, they may not achieve broad market acceptance, which would limit the revenue that we generate from their sales.</w:t>
      </w:r>
    </w:p>
    <w:p>
      <w:pPr>
        <w:spacing w:after="0" w:line="14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The commercial success of bempedoic acid or the bempedoic acid / ezetimibe combination tablet in the U.S., Europe and Asia, and, if approved, by other regulatory authorities, in other countries in which we (or our partners) pursue regulatory approval, will depend upon the awareness and acceptance of bempedoic acid and the bempedoic acid / ezetimibe combination tablet among the medical community, including physicians, patients and healthcare payors. Market acceptance of bempedoic acid and the bempedoic acid / ezetimibe combination tablet will depend on a number of factors, including, among others:</w:t>
      </w:r>
    </w:p>
    <w:p>
      <w:pPr>
        <w:spacing w:after="0" w:line="157" w:lineRule="exact"/>
        <w:rPr>
          <w:sz w:val="20"/>
          <w:szCs w:val="20"/>
          <w:color w:val="auto"/>
        </w:rPr>
      </w:pPr>
    </w:p>
    <w:p>
      <w:pPr>
        <w:ind w:left="620" w:right="180" w:hanging="307"/>
        <w:spacing w:after="0" w:line="272"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bempedoic acid and the bempedoic acid / ezetimibe combination tablet’s demonstrated ability to treat patients for LDL-C lowering, or bempedoic acid and the bempedoic acid / ezetimibe combination tablet’s ability to achieve CV risk reduction, as compared with other available therapies;</w:t>
      </w:r>
    </w:p>
    <w:p>
      <w:pPr>
        <w:spacing w:after="0" w:line="190"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convenience and ease of administration of bempedoic acid and the bempedoic acid / ezetimibe combination tablet, including as compared with other treatments for patients for LDL-C lowering or CV risk reduction;</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side effects such as muscle pain or weakness;</w:t>
      </w:r>
    </w:p>
    <w:p>
      <w:pPr>
        <w:spacing w:after="0" w:line="217"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approved for bempedoic acid or the bempedoic acid / ezetimibe combination tablet by the FDA or other regulatory authorities;</w:t>
      </w:r>
    </w:p>
    <w:p>
      <w:pPr>
        <w:spacing w:after="0" w:line="151"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alternative treatments, including a number of competitive therapies already approved for LDL-C lowering or CV risk reduction, including PCSK9 inhibitors, or expected to be commercially launched in the near future;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cost effectiveness;</w:t>
      </w:r>
    </w:p>
    <w:p>
      <w:pPr>
        <w:spacing w:after="0" w:line="217"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 Europe, DSE’s, in certain Asian territories, DS's, and in Japan, Otsuka's, sales and marketing strategies, as well as the effectiveness of any other future collaborators;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awareness of bempedoic acid or the bempedoic acid / ezetimibe combination tablet through marketing efforts;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sufficient third-party coverage or reimbursement;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third-party coverage.</w:t>
      </w:r>
    </w:p>
    <w:p>
      <w:pPr>
        <w:spacing w:after="0" w:line="24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If bempedoic acid or the bempedoic acid / ezetimibe combination tablet does not achieve an adequate level of acceptance by patients, physicians and payors, we may not generate sufficient revenue from bempedoic acid and the bempedoic acid / ezetimibe combination tablet to become or remain profitable. Our efforts to educate the medical community and third-party payors about the benefits of bempedoic acid and the bempedoic acid / ezetimibe combination tablet may require significant resources and may never be successful.</w:t>
      </w:r>
    </w:p>
    <w:p>
      <w:pPr>
        <w:spacing w:after="0" w:line="164"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obtained marketing approval for bempedoic acid and the bempedoic acid / ezetimibe combination tablet in the U.S. and Europe and several Asian territories, physicians and patients using other LDL-C or CV risk lowering therapies may choose not to switch to our products.</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Physicians are often reluctant to switch their patients from existing therapies even when new and potentially more effective, safe or convenient treatments enter the market. In addition, patients often acclimate to the brand or type of therapy that they are currently taking and do not want to switch unless their physicians recommend switching products or they are required to switch therapies due to lack of reimbursement for existing therapies. If physicians or patients are reluctant to switch from existing therapies to bempedoic acid and the bempedoic acid / ezetimibe combination tablet, our operating results and financial condition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Impact of Uncertain Capital Markets</w:t>
      </w:r>
    </w:p>
    <w:p>
      <w:pPr>
        <w:spacing w:after="0" w:line="21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relied in part on sales of our common stock through our at-the-market (ATM) offering program. Increased volatility and decreases in market prices of equity securities generally and of our common stock in particular may have an adverse impact on our willingness and/or ability to continue to</w:t>
      </w:r>
    </w:p>
    <w:p>
      <w:pPr>
        <w:spacing w:after="0" w:line="1"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sell our common stock through our ATM offering. Decreases in these sales would/could affect the cost or availability of equity capital, which could in turn have an adverse effect on our business, including current operations, future growth, revenues, net income and the market prices of our common stock.</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February 21, 2023, we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We may continue to use the 2023 ATM Program to address potential short-term or long-term funding requirements that may arise. Given the volatility in the capital markets, we may not be willing or able to continue to raise equity capital through the 2023 ATM Program. We may, therefore, need to turn to other sources of funding that may have terms that are not favorable to us, or reduce our business operations given capital constraints.</w:t>
      </w:r>
    </w:p>
    <w:p>
      <w:pPr>
        <w:spacing w:after="0" w:line="19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w:t>
      </w:r>
    </w:p>
    <w:p>
      <w:pPr>
        <w:spacing w:after="0" w:line="190"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7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Our operations consume substantial amounts of cash, and our future capital requirements may be significantly different from our current estimates. Further, changing circumstances, some of which may be beyond our control, could cause us to consume capital significantly faster than we currently anticipate, and we may need to seek additional funds sooner than planned. Our future funding requirements, both near and long-term will depend on many factors, including, but not limited to the need to:</w:t>
      </w:r>
    </w:p>
    <w:p>
      <w:pPr>
        <w:spacing w:after="0" w:line="230"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finance unanticipated working capital requirements;</w:t>
      </w:r>
    </w:p>
    <w:p>
      <w:pPr>
        <w:spacing w:after="0" w:line="236"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develop or enhance our business infrastructure; and</w:t>
      </w:r>
    </w:p>
    <w:p>
      <w:pPr>
        <w:spacing w:after="0" w:line="236"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respond to competitive pressures.</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Accordingly, we may need to pursue equity or debt financings to meet our capital needs. With uncertainty in the capital markets and other factors, such financing may not be available on terms favorable to us, or at all. For instance, the trading prices for our common stock and for other biopharmaceutical companies have been highly volatile. As a result, we may face difficulties raising capital through sales of our equity or debt securities or such sales may be on unfavorable terms. Similarly, adverse market or macroeconomic conditions or market volatility resulting from global economic developments, geopolitical developments, high inflation, rising interest rates, international tariffs, trade protection measures, economic sanctions and economic slowdowns or recessions, future public health epidemics or other factors, could materially and adversely affect our ability to consummate an equity or debt financing on favorable terms, or at all. In order to raise additional capital, we may seek a combination of private and public equity offerings, debt financings, strategic partnerships and alliances and licensing arrangements. To the extent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could have an adverse effect on our operations and financial results.</w:t>
      </w:r>
    </w:p>
    <w:p>
      <w:pPr>
        <w:spacing w:after="0" w:line="25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exposed vulnerabilities in the banking sector, including legal uncertainties, significant volatility and contagion risk, and caused market prices of regional bank stocks to plummet.</w:t>
      </w:r>
    </w:p>
    <w:p>
      <w:pPr>
        <w:spacing w:after="0" w:line="18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and information technology systems and infrastructure, or those of our third-party clinical research organizations or other contractors or consultants, may fail or suffer security compromises, cybersecurity incidents or breaches, which could result in a material disruption of our bempedoic acid or the bempedoic acid / ezetimibe combination tablet commercialization and development programs.</w:t>
      </w:r>
    </w:p>
    <w:p>
      <w:pPr>
        <w:spacing w:after="0" w:line="15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Despite the implementation of security measures, our internal computer and information technology systems and infrastructure and those of our third-party CROs, vendors, and other contractors and consultants upon which our business relies are vulnerable to breakdown or damage or interruption from, among other things, natural disasters, terrorism, war, telecommunication and electrical failures, and sophisticated cyber-attacks, including the theft, fraud, and subsequent misuse of employee credentials, wrongful conduct by insider employees or vendors, denial-of-service attacks, ransomware attacks, business email compromises, computer malware, malicious codes, viruses, breakdown, wrongful intrusions, data breaches, and social engineering (including phishing attacks). While we have not experienced any such material system failure, accident, or security breach to date, if such an event were to occur and cause interruptions in our operations, it could result in a material disruption of our programs. For example, the loss of clinical study data for bempedoic acid or the bempedoic acid / ezetimibe combination tablet could result in delays in our regulatory approval efforts and significantly increase our costs to recover or reproduce the data. Likewise, we rely on third parties to manufacture our product candidates and will rely on third parties to conduct future clinical trials, and similar events relating to their computer systems and infrastructure could also have similar consequences to our business. To the extent that any disruption or cybersecurity compromise, incident or breach results in a loss of or damage to, unauthorized access of, or misuse of our data, systems, infrastructure or applications or other data or applications relating to our technology or our products and product candidates, or inappropriate disclosure of confidential or proprietary information, we could incur liabilities (including in connection with or resulting from litigation or governmental investigations and enforcement actions) and the further development of bempedoic acid or the bempedoic acid / ezetimibe combination tablet could be delayed, the commercialization of our products could be impacted and our business could be otherwise adversely affected.</w:t>
      </w:r>
    </w:p>
    <w:p>
      <w:pPr>
        <w:spacing w:after="0" w:line="39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We could be subject to risks caused by misappropriation, misuse, leakage, falsification or intentional or accidental release or loss of information maintained in the information systems and networks, or physical facilities in which data is stored or through which data is transmitted,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and infrastructure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Our contracts may not contain limitations of liability, and even where they do, there can be no assurance that limitations of liability in our contracts are sufficient to protect us from</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7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If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and infrastructure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compromise or breach, industrial espionage attacks or insider threat attacks which could result in financial, legal, business or reputational harm which could negatively impact our relationship with our customers, partners, vendors and other third parties, and fines and penalties resulting from claims against us by private parties and/or governmental agencies.</w:t>
      </w:r>
    </w:p>
    <w:p>
      <w:pPr>
        <w:spacing w:after="0" w:line="200" w:lineRule="exact"/>
        <w:rPr>
          <w:sz w:val="20"/>
          <w:szCs w:val="20"/>
          <w:color w:val="auto"/>
        </w:rPr>
      </w:pPr>
    </w:p>
    <w:p>
      <w:pPr>
        <w:spacing w:after="0" w:line="204"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4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studies,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increasing use of social media platforms presents new risks and challenges.</w:t>
      </w: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Social media is increasingly being used to communicate about our drugs, clinical development programs, and the diseases our drugs and drug candidates are being developed to treat, and we are utilizing what we believe is appropriate social media in connection with our commercialization efforts for bempedoic acid and the bempedoic acid / ezetimibe combination tablet and we intend to do the same for our future products, if approved. Social media practices in the pharmaceutical industry continue to evolve and regulations relating to such use are not always clear. This evolution creates uncertainty and risk of noncompliance with regulations applicable to our business, resulting in potential regulatory actions against us. For example, there is a risk of inappropriate disclosure of sensitive information or negative or inaccurate posts or comments about us on any social networking website. If any of these events were to occur or we otherwise fail to monitor and comply with applicable regulations, we could incur liability, face regulatory actions, or incur other harm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could adversely affect our business and financial condition.</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our business.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may be subject to limitation.</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At December 31, 2024, we had United States federal net operating loss carryforwards of approximately $773.6 million and state net operating loss carryforwards of approximately $644.6 million. Under Sections 382 and 383 of the U.S.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As a result of prior equity issuances and other transactions in our stock, we have previously experienced “ownership changes” under section 382 of the Code and comparable state tax laws in those years. Some of the United States federal and state net operating loss and credit carryforwards are subject to annual limitations due to ownership changes. The annual limitation may result in the expiration of net operating losses or credit carryforwards before utilization. As of result of stock transactions, we expect the Company experienced an ownership change in 2013, 2017, 2021, 2023 and 2024. We may also experience ownership changes in the future as a result of future transactions in our stock. As the Company had less taxable income than the total allowable net deductions under section 382, it was able to use net operating loss carryforwards to fully offset taxable income in 2024.</w:t>
      </w:r>
    </w:p>
    <w:p>
      <w:pPr>
        <w:spacing w:after="0" w:line="217"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natural disasters, geopolitical developments or global health crises and our business continuity and disaster recovery plans may not adequately protect us from a serious disaster.</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occurrence of unforeseen or catastrophic events, including extreme weather events, natural disasters, geopolitical developments or global health crises, depending on their scale, may cause different degrees of damage to the national and local economies, such as recessions, rising interest rates, inflation, fuel prices, foreign currency fluctuations, international tariffs, boycotts, curtailment of trade and other business restrictions, and could severely disrupt our operations, and have a material adverse effect on our business, results of operations, financial condition, and prospects. If a natural disaster, global health crisis, power outage, or other event occurred that prevented us from using all or a significant portion of our headquarters, that damaged critical infrastructure, such as the manufacturing facilities of our third-party contract manufacturers, or that otherwise disrupted our operations or the operations of our vendors, it may be difficult or, in certain cases, impossible for us to continue our business for a substantial period of time. The disaster recovery and business continuity plans we have in place may prove inadequate in the event of a serious disaster, health crisis, or similar event. We may incur substantial expenses as a result of the limited nature of our disaster recovery and business continuity plans, which, could have a material adverse effect on our business.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Risks Related to Clinical Development, Regulatory Review, and Approval of Our Drugs and Future Drug Candidates</w:t>
      </w:r>
    </w:p>
    <w:p>
      <w:pPr>
        <w:spacing w:after="0" w:line="216"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Failures or delays in the completion of any of our future clinical trials could result in increased costs to us and could delay, prevent or limit our ability to generate revenue and continue our business.</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In December 2022, we announced completion of the CLEAR Outcomes CVOT. In the future, we or our partners may conduct additional clinical studies of bempedoic acid and the bempedoic acid / ezetimibe combination tablet, as well as clinical studies of additional product candidates we may develop. The conduct and completion of any of our future clinical studies can be delayed or prevented for a number of reasons, including, among others:</w:t>
      </w:r>
    </w:p>
    <w:p>
      <w:pPr>
        <w:spacing w:after="0" w:line="204"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authority may not agree to the study design or overall program;</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authority may place a clinical study on hold;</w:t>
      </w:r>
    </w:p>
    <w:p>
      <w:pPr>
        <w:spacing w:after="0" w:line="217"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or failing to reach agreement on acceptable terms with prospective CROs and study sites, the terms of which can be subject to extensive negotiation and may vary significantly among different CROs and study sites;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or delays obtaining IRB, approval to conduct a clinical study at a prospective site or sites;</w:t>
      </w:r>
    </w:p>
    <w:p>
      <w:pPr>
        <w:spacing w:after="0" w:line="21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or unexpected drug-related side effects experienced by patients in a clinical study, including instances of muscle pain or weakness or other side effects;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from preclinical or clinical testing of other cardiometabolic therapies that raise safety or efficacy concerns;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retaining patients who have enrolled in a clinical study but may be prone to withdraw due to rigors of the study, lack of efficacy, side effects, personal issues or loss of interest.</w:t>
      </w:r>
    </w:p>
    <w:p>
      <w:pPr>
        <w:spacing w:after="0" w:line="177" w:lineRule="exact"/>
        <w:rPr>
          <w:sz w:val="20"/>
          <w:szCs w:val="20"/>
          <w:color w:val="auto"/>
        </w:rPr>
      </w:pPr>
    </w:p>
    <w:p>
      <w:pPr>
        <w:jc w:val="both"/>
        <w:ind w:right="720"/>
        <w:spacing w:after="0" w:line="270" w:lineRule="auto"/>
        <w:rPr>
          <w:sz w:val="20"/>
          <w:szCs w:val="20"/>
          <w:color w:val="auto"/>
        </w:rPr>
      </w:pPr>
      <w:r>
        <w:rPr>
          <w:rFonts w:ascii="Times New Roman" w:cs="Times New Roman" w:eastAsia="Times New Roman" w:hAnsi="Times New Roman"/>
          <w:sz w:val="17"/>
          <w:szCs w:val="17"/>
          <w:color w:val="auto"/>
        </w:rPr>
        <w:t>Clinical studies may also be delayed or terminated as a result of ambiguous or negative interim results. In addition, a clinical study may be suspended or terminated by us, the FDA, the EMA, the IRBs at the sites where the IRBs are overseeing a clinical study, a data safety monitoring committee, or DMC, overseeing the clinical study at issue or any other regulatory authorities due to a number of factors, including, among others:</w:t>
      </w:r>
    </w:p>
    <w:p>
      <w:pPr>
        <w:spacing w:after="0" w:line="167"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conduct the clinical study in accordance with regulatory requirements or our clinical protocols;</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 of the clinical study operations or study sites by the FDA, EMA or any other regulatory authorities that reveals deficiencies or violations that require us to undertake corrective action, including the imposition of a clinical hold;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regulations or administrative actions;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with clinical supply materials;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study.</w:t>
      </w:r>
    </w:p>
    <w:p>
      <w:pPr>
        <w:spacing w:after="0" w:line="212"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Positive results from completed Phase 1, Phase 2 and Phase 3 clinical studies of bempedoic acid and the bempedoic acid / ezetimibe combination tablet and our CLEAR Outcomes CVOT of bempedoic acid are not necessarily predictive of the results of our future clinical studies, nor do they guarantee approval of bempedoic acid and the bempedoic acid / ezetimibe combination tablet by the FDA, EMA or any other regulatory agency for additional indications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a high failure rate for drugs proceeding through clinical studies. The positive results from our completed Phase 1, Phase 2 and Phase 3 clinical studies of bempedoic acid, our Phase 3 1002FDC-053 clinical study of the bempedoic acid / ezetimibe combination tablet, our CLEAR Outcomes CVOT or any future studies of bempedoic acid and the bempedoic acid / ezetimibe combination tablet, do not guarantee approval of bempedoic acid and the bempedoic acid / ezetimibe combination tablet by the FDA for additional indications or by any other regulatory authorities for any future indications in a timely manner or at all. Many companies in the pharmaceutical and biotechnology industries have suffered significant setbacks in late-stage clinical studies after achieving positive results earlier in development, and we cannot be certain that we will not face similar setbacks. These setbacks have been caused by, among other things, preclinical findings made while clinical studies were underway or safety or efficacy observations made in clinical studies, including previously unreported adverse events. In addition, regulatory delays or rejections may be encountered as a result of many factors, including changes in regulatory policy during the period of product development. If we fail to obtain positive results in any future clinical studies, the regulatory status of our product candidates or future product candidates, and correspondingly, our business and financial prospects, may be materially adversely affected.</w:t>
      </w:r>
    </w:p>
    <w:p>
      <w:pPr>
        <w:spacing w:after="0" w:line="8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our partners or regulatory authorities to interrupt, delay or halt non-clinical studies and clinical trials and could result in a more restrictive label or the delay or denial of regulatory approval by the FDA or other regulatory authorities.</w:t>
      </w:r>
    </w:p>
    <w:p>
      <w:pPr>
        <w:spacing w:after="0" w:line="15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Clinical trials by their nature utilize a sample of the potential patient population. Rare and severe side effects of our product candidates may only be uncovered with a significantly larger number of patients exposed to the product candidate over a significant period of time. If our product candidates receive marketing approval and we or others identify undesirable side effects caused by such products (or any other similar products) after such approval, a number of potentially significant negative consequences could result, including:</w:t>
      </w:r>
    </w:p>
    <w:p>
      <w:pPr>
        <w:spacing w:after="0" w:line="170"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or limit their approval of such products;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w:t>
      </w:r>
    </w:p>
    <w:p>
      <w:pPr>
        <w:spacing w:after="0" w:line="217" w:lineRule="exact"/>
        <w:rPr>
          <w:rFonts w:ascii="Times New Roman" w:cs="Times New Roman" w:eastAsia="Times New Roman" w:hAnsi="Times New Roman"/>
          <w:sz w:val="17"/>
          <w:szCs w:val="17"/>
          <w:color w:val="auto"/>
        </w:rPr>
      </w:pPr>
    </w:p>
    <w:p>
      <w:pPr>
        <w:ind w:left="620" w:right="500" w:hanging="307"/>
        <w:spacing w:after="0" w:line="288"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such products are distributed or administered, conduct additional clinical trials or change the labeling of the products;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regulatory investigations and government enforcement actions;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to recall or remove such products from the marketplace;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injury caused to individuals exposed to or taking our products and product candidates; and our reputation may suffer.</w:t>
      </w:r>
    </w:p>
    <w:p>
      <w:pPr>
        <w:spacing w:after="0" w:line="24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We believe that any of these events could prevent us from achieving or maintaining market acceptance of the affected products, and could substantially increase the costs of commercializing our products and significantly impact our ability to successfully commercialize our products and generate revenues.</w:t>
      </w:r>
    </w:p>
    <w:p>
      <w:pPr>
        <w:spacing w:after="0" w:line="145"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regulatory requirements, FDA or EMA guidance or unanticipated events may occur, which may result in changes to clinical study protocols or additional clinical study requirements, which could result in increased costs to us and could delay our development timeline.</w:t>
      </w:r>
    </w:p>
    <w:p>
      <w:pPr>
        <w:spacing w:after="0" w:line="1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Changes in regulatory requirements, FDA or EMA guidance or unanticipated events during our clinical studies may force us to amend clinical study protocols or the FDA or EMA may impose additional clinical study requirements. Significant amendments to our clinical study protocols may require resubmission to the FDA and/or IRBs for review and approval, which may adversely impact the cost, timing and/or successful completion of these studies. If we are required to conduct clinical studies in addition to our CLEAR Outcomes CVOT to support a CV risk reduction indication in certain jurisdictions, the commercial prospects for bempedoic acid and the bempedoic acid / ezetimibe combination tablet in such jurisdictions may be harmed and our ability to generate product revenue will be impaired.</w:t>
      </w:r>
    </w:p>
    <w:p>
      <w:pPr>
        <w:spacing w:after="0" w:line="196"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future product development programs for candidates other than bempedoic acid or the bempedoic acid / ezetimibe combination tablet may require substantial financial resources and may ultimately be unsuccessful.</w:t>
      </w:r>
    </w:p>
    <w:p>
      <w:pPr>
        <w:spacing w:after="0" w:line="133"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7"/>
          <w:szCs w:val="17"/>
          <w:color w:val="auto"/>
        </w:rPr>
        <w:t>In addition to the development of bempedoic acid and the bempedoic acid / ezetimibe combination tablet, we may pursue the development of other early-stage programs, such as our program to develop next generation ACL inhibitors. If we conduct any clinical studies for our future product candidates, there will be a number of FDA requirements that we must satisfy before we can commence such clinical studies. Satisfaction of these requirements will entail substantial time, effort and financial resources. We may never satisfy these requirements. Any time, effort and financial resources we expend on any early-stage development programs that we may pursue may adversely affect our ability to continue development and commercialization of bempedoic acid and the bempedoic acid / ezetimibe combination tablet, and we may never commence clinical studies of such development programs despite expending significant resources in pursuit of their development. If we do commence clinical studies of our other potential product candidates, such product candidates may never be approved by the FDA.</w:t>
      </w:r>
    </w:p>
    <w:p>
      <w:pPr>
        <w:spacing w:after="0" w:line="185"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Currently, federal agencies in the U.S. are operating under a continuing resolution that is set to expire on March 14, 2025. Without appropriations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3"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product applications to be reviewed and/or approved by necessary government agencies, which would adversely affect our business.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Litigation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claims are brought against us, we may incur substantial liability.</w:t>
      </w:r>
    </w:p>
    <w:p>
      <w:pPr>
        <w:spacing w:after="0" w:line="2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use of bempedoic acid and the bempedoic acid / ezetimibe combination tablet in clinical studies and the sale of bempedoic acid and the bempedoic acid / ezetimibe combination tablet exposes us to the risk of product liability claims. Product liability claims might be brought against us by patients, healthcare providers or others selling or otherwise coming into contact with bempedoic acid or the bempedoic acid / ezetimibe combination tablet.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79"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patients from our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patients or other claimants;</w:t>
      </w:r>
    </w:p>
    <w:p>
      <w:pPr>
        <w:spacing w:after="0" w:line="217" w:lineRule="exact"/>
        <w:rPr>
          <w:rFonts w:ascii="Times New Roman" w:cs="Times New Roman" w:eastAsia="Times New Roman" w:hAnsi="Times New Roman"/>
          <w:sz w:val="17"/>
          <w:szCs w:val="17"/>
          <w:color w:val="auto"/>
        </w:rPr>
      </w:pPr>
    </w:p>
    <w:p>
      <w:pPr>
        <w:ind w:left="620" w:right="540" w:hanging="307"/>
        <w:spacing w:after="0" w:line="288"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bempedoic acid or the bempedoic acid / ezetimibe combination tablet or any future product candidates following marketing approval, if obtained;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and exposure to adverse publicity;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FDA warnings on product labels;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costs;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distraction of management’s attention from our primary business;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217"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commercialize bempedoic acid or the bempedoic acid / ezetimibe combination tablet or any future product candidates, if approved.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maintain product liability insurance coverage for our clinical studies with a $10.0 million annual aggregate coverage limit, in addition to insurance coverage in specific local jurisdictions.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We expanded our insurance coverage to include the sale of commercial products.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at an increased risk of securities class action litigation.</w:t>
      </w:r>
    </w:p>
    <w:p>
      <w:pPr>
        <w:spacing w:after="0" w:line="250"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 In addition, defending claims is costly and can impose a significant burden on our management. Any proceeding in which we are or may become involved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bempedoic acid and the bempedoic acid / ezetimibe combination tablet.</w:t>
      </w:r>
    </w:p>
    <w:p>
      <w:pPr>
        <w:spacing w:after="0" w:line="14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pharmaceutical industry is characterized by extensive litigation regarding patents and other intellectual property rights. Other parties may allege that bempedoic acid or the bempedoic acid / ezetimibe combination tablet or the use of our technologies infringe patent claims or other intellectual property rights held by them or that we are employing their proprietary technology without authorization. For example, we are aware of U.S. patents relating to compositions containing ezetimibe. Although we believe that our bempedoic acid / ezetimibe combination tablet would not infringe a claim of such patents, the owner of such patents may disagree and initiate a patent infringement action against us.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bempedoic acid or the bempedoic acid / ezetimibe combination tablet.</w:t>
      </w:r>
    </w:p>
    <w:p>
      <w:pPr>
        <w:spacing w:after="0" w:line="18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173"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developing, selling or otherwise commercializing bempedoic acid or the bempedoic acid / ezetimibe combination tablet;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for past use of the asserted intellectual property;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 license from the holder of the asserted intellectual property, which license may not be available on reasonable terms, if at all; and</w:t>
      </w:r>
    </w:p>
    <w:p>
      <w:pPr>
        <w:spacing w:after="0" w:line="217" w:lineRule="exact"/>
        <w:rPr>
          <w:rFonts w:ascii="Times New Roman" w:cs="Times New Roman" w:eastAsia="Times New Roman" w:hAnsi="Times New Roman"/>
          <w:sz w:val="17"/>
          <w:szCs w:val="17"/>
          <w:color w:val="auto"/>
        </w:rPr>
      </w:pPr>
    </w:p>
    <w:p>
      <w:pPr>
        <w:ind w:left="620" w:right="580" w:hanging="307"/>
        <w:spacing w:after="0" w:line="28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 or rename in the case of trademark claims, bempedoic acid or the bempedoic acid / ezetimibe combination tablet to avoid infringing the intellectual property rights of third parties, which may not be possible and, even if possible, could be costly and time-consuming.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risks coming to fruition could have a material adverse effect on our business, results of operations, financial condition and prospects.</w:t>
      </w:r>
    </w:p>
    <w:p>
      <w:pPr>
        <w:spacing w:after="0" w:line="212" w:lineRule="exact"/>
        <w:rPr>
          <w:sz w:val="20"/>
          <w:szCs w:val="20"/>
          <w:color w:val="auto"/>
        </w:rPr>
      </w:pPr>
    </w:p>
    <w:p>
      <w:pPr>
        <w:ind w:right="6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alleged trade secrets of their former employers.</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bempedoic acid or the bempedoic acid / ezetimibe combination tablet,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Capital Needs and Ownership of Our Stock</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operating losses since our inception, and anticipate that we will incur continued losses for the near term future.</w:t>
      </w:r>
    </w:p>
    <w:p>
      <w:pPr>
        <w:spacing w:after="0" w:line="22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Pharmaceutical product development is a highly speculative undertaking and involves a substantial degree of risk. We were incorporated in January 2008. Our operations to date have included organizing and staffing our company, conducting research and development activities for bempedoic acid and the bempedoic acid</w:t>
      </w:r>
    </w:p>
    <w:p>
      <w:pPr>
        <w:ind w:firstLine="3"/>
        <w:spacing w:after="0" w:line="258" w:lineRule="auto"/>
        <w:tabs>
          <w:tab w:leader="none" w:pos="9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ezetimibe combination tablet, as well as commercializing these products. Since the launch of our products, we have generated $302.9 million in net revenue from product sales in the U.S. We have obtained regulatory approval for both products from the FDA in the U.S., the EC in Europe and Swissmedic in Switzerland as well as from regulatory authorities in several Asian territories. As such, we are subject to all the risks incident to the development, regulatory approval and commercialization of new pharmaceutical products and we may encounter unforeseen expenses, difficulties, complications, delays and other unknown factors.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Since our inception, we have focused substantially all of our efforts and financial resources on developing bempedoic acid. We have funded our operations to date primarily through proceeds from sales of preferred stock, public offerings of common stock and warrants, convertible promissory notes and warrants, the incurrence of indebtedness, milestone payments from collaboration agreements, revenue interest purchase agreements and royalty sale agreements, and we have incurred losses in each year since our inception. Our net losses were $51.7 million, $209.2 million, and $233.7 million for the years ended December 31, 2024, 2023, and 2022, respectively. As of December 31, 2024, we had an accumulated deficit of $1.6 billion. Substantially all of our operating losses resulted from costs incurred in connection with our development program and from selling, general and administrative costs associated with our operations. We will continue to manage our spending for clinical trials, marketing approvals, and commercialization, and we may attempt to secure additional cash resources or reduce spend in certain areas as needed to continue commercialization and further development of bempedoic acid and the bempedoic acid / ezetimibe combination tablet or other product candidates.</w:t>
      </w:r>
    </w:p>
    <w:p>
      <w:pPr>
        <w:spacing w:after="0" w:line="16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Our prior losses, combined with expected future losses, have had and will continue to have an adverse effect on our stockholders’ deficit and working capital. We expect to incur significant expenses and operating losses for the near term future related to our commercialization of NEXLETOL and NEXLIZET and pursing other research and development expenses, as well as other related personnel and activities. Our research and development expenses are expected to increase slightly in 2025 due to the start of our pediatric phase III trial and ongoing preclinical pipeline work. We expect to continue to incur research and development expenses as they relate to any other early-stage development programs or additional indications we choose to pursue. Our selling, general and administrative expenses increased in 2024 due to the expanded cardiovascular outcomes indication received in March 2024 for NEXLETOL and NEXLIZET and the increased marketing and promotional activities along with increased sales force needed to launch the new indication. We expect our selling, general and administrative expenses for 2025 to be consistent with 2024. Even though bempedoic acid and the bempedoic acid / ezetimibe combination tablet are approved in the U.S., Europe and several Asian territories for commercial sale, and despite expending these costs, bempedoic acid or the bempedoic acid / ezetimibe combination tablet may not be commercially successful drugs. As a public company, we have incurred and will continue to incur additional costs associated with operating as a public company. As a result, we expect to continue to incur operating losses for the near term future. Because of the numerous risks and uncertainties associated with developing and commercializing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Capital Needs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substantial additional capital in the future. If additional capital is not available, we will have to delay, reduce or cease operations.</w:t>
      </w:r>
    </w:p>
    <w:p>
      <w:pPr>
        <w:spacing w:after="0" w:line="22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In February 2020 we announced that the FDA approved NEXLETOL and NEXLIZET. In April 2020, we announced that the EC approved NILEMDO and NUSTENDI.</w:t>
      </w:r>
    </w:p>
    <w:p>
      <w:pPr>
        <w:spacing w:after="0" w:line="1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expect that our continued commercialization efforts and any additional clinical studies that we undertake for the further clinical development of bempedoic acid and the bempedoic acid / ezetimibe combination tablet or any other product candidate we pursue will consume substantial additional financial resources. We expect that our existing cash and cash equivalents and proceeds to be received in the future for product sales and under our collaboration agreements are sufficient to fund operations for the near term future. We may look to secure additional cash resources should positive corporate events or milestones provide sufficient opportunities. We may, however, need to secure additional cash resources to continue to fund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commercialization and further clinical development of bempedoic acid and the bempedoic acid / ezetimibe combination tablet or any other product candidate. Our future capital requirements may be substantial and will depend on many factors including:</w:t>
      </w:r>
    </w:p>
    <w:p>
      <w:pPr>
        <w:spacing w:after="0" w:line="151" w:lineRule="exact"/>
        <w:rPr>
          <w:sz w:val="20"/>
          <w:szCs w:val="20"/>
          <w:color w:val="auto"/>
        </w:rPr>
      </w:pPr>
    </w:p>
    <w:p>
      <w:pPr>
        <w:ind w:left="620" w:right="120" w:hanging="307"/>
        <w:spacing w:after="0" w:line="288"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sales, and our ability to secure and maintain adequate reimbursement coverage, in the United States, Europe and other territories around the world;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and payment of potential debt maturities;</w:t>
      </w:r>
    </w:p>
    <w:p>
      <w:pPr>
        <w:spacing w:after="0" w:line="217"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commercializing bempedoic acid and the bempedoic acid / ezetimibe combination tablet or any future product candidates if we receive marketing approval, including the cost and timing of developing sales and marketing capabilities or entering into strategic collaborations to market and sell bempedoic acid and the bempedoic acid / ezetimibe combination tablet or any future product candidates;</w:t>
      </w:r>
    </w:p>
    <w:p>
      <w:pPr>
        <w:spacing w:after="0" w:line="167"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 DS, Otsuka, or other partners' ability to successfully commercialize bempedoic acid and the bempedoic acid / ezetimibe combination tablet in their respective territories;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milestone payments from our collaboration partners;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characteristics of any additional product candidates we develop or acquire;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FDA, the EMA and other comparable foreign regulatory authorities;</w:t>
      </w:r>
    </w:p>
    <w:p>
      <w:pPr>
        <w:spacing w:after="0" w:line="243"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bempedoic acid and the bempedoic acid / ezetimibe combination tablet or any future product candidates and any products we successfully commercialize; and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general corporate activities, such as the costs of filing, prosecuting and enforcing patent claims.</w:t>
      </w:r>
    </w:p>
    <w:p>
      <w:pPr>
        <w:spacing w:after="0" w:line="2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Changing circumstances may cause us to consume capital significantly faster than we currently anticipate. Because the outcome of any clinical study is highly uncertain, we cannot reasonably estimate the actual amounts necessary to successfully complete the development, regulatory approval and commercialization of bempedoic acid and the bempedoic acid / ezetimibe combination tablet and any future product candidates. Additional financing may not be available when we need it or may not be available on terms that are favorable to us. In addition, we may seek additional capital due to favorable market conditions or strategic considerations, even if we believe we have sufficient funds for our current or future operating plans. If adequate funds are unavailable to us on a timely basis, or at all, we may not be able to continue the development of bempedoic acid and the bempedoic acid / ezetimibe combination tablet or any future product candidate, or to commercialize bempedoic acid and the bempedoic acid / ezetimibe combination tablet or any future product candidate, if approved.</w:t>
      </w:r>
    </w:p>
    <w:p>
      <w:pPr>
        <w:spacing w:after="0" w:line="171"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do not establish successful collaborations, we may have to alter our development and commercialization plans for bempedoic acid and the bempedoic acid / ezetimibe combination tablet.</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drug development programs and commercialization plans for bempedoic acid and the bempedoic acid / ezetimibe combination tablet will require substantial additional cash to fund expenses. We developed and commercialized bempedoic acid and the bempedoic acid / ezetimibe combination tablet in the United States without a partner. However, in order to pursue the broader cholesterol modifying market in the United States, we may also enter into a partnership or co-promotion arrangement with an established pharmaceutical company that has a larger sales force. We are continuing to establish our commercialization and distribution capabilities to support the sales, marketing and distribution of our pharmaceutical products, including through our arrangements with DSE, DS, Otsuka and our other partners. In order to market bempedoic acid and the bempedoic acid / ezetimibe combination tablet in the U.S. we must continue to manage our sales, marketing, managerial, and other non-technical capabilities or make arrangements with third parties to perform these services.</w:t>
      </w:r>
    </w:p>
    <w:p>
      <w:pPr>
        <w:spacing w:after="0" w:line="16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We will face significant competition in seeking appropriate collaborators and these collaboration agreements are complex and time-consuming to negotiate. We may not be able to negotiate collaborations on acceptable terms, or at all. We also could be required to seek collaborators for one or more of our current or future product candidates at an earlier stage than otherwise would be desirable or on terms that are less favorable than might otherwise be acceptable or relinquish or license on unfavorable terms our rights to technologies or product candidates that we otherwise would seek to develop or commercialize ourselves. If that were to occur, we may have to curtail the development or delay commercialization of bempedoic acid or the bempedoic acid / ezetimibe combination tablet in certain geographies, reduce the scope of our sales or marketing activities,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reduce the scope of our commercialization plans, or increase our expenditures and undertake development or commercialization activities at our own expense. If we elect to increase our expenditures to fund development or commercialization activities outside of the United States, the DSE Territory, the DS Territory and Japan on our own, we may need to obtain additional capital, which may not be available to us on acceptable terms, or at all.</w:t>
      </w:r>
    </w:p>
    <w:p>
      <w:pPr>
        <w:spacing w:after="0" w:line="19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payment obligations under the Credit Agreement with the lenders thereto may adversely affect our financial position or results of operations and our ability to raise additional capital which in turn may increase our vulnerability to adverse regulatory developments or economic or business downturns.</w:t>
      </w:r>
    </w:p>
    <w:p>
      <w:pPr>
        <w:spacing w:after="0" w:line="146" w:lineRule="exact"/>
        <w:rPr>
          <w:sz w:val="20"/>
          <w:szCs w:val="20"/>
          <w:color w:val="auto"/>
        </w:rPr>
      </w:pPr>
    </w:p>
    <w:p>
      <w:pPr>
        <w:ind w:right="80"/>
        <w:spacing w:after="0" w:line="214" w:lineRule="exact"/>
        <w:rPr>
          <w:sz w:val="20"/>
          <w:szCs w:val="20"/>
          <w:color w:val="auto"/>
        </w:rPr>
      </w:pPr>
      <w:r>
        <w:rPr>
          <w:rFonts w:ascii="Times New Roman" w:cs="Times New Roman" w:eastAsia="Times New Roman" w:hAnsi="Times New Roman"/>
          <w:sz w:val="17"/>
          <w:szCs w:val="17"/>
          <w:color w:val="auto"/>
        </w:rPr>
        <w:t>On December 13, 2024, we entered into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or the Loan, which was borrowed in full at closing. Proceeds from the Loan were used to repay a portion of the outstanding obligations under the Company's existing $265.0 million aggregate principal amount 4.00% Convertible Senior Subordinated Notes due November 2025, or the 2025 Notes, and to pay fees and expenses in connection with the Credit Agreement. See in Note 12 "Debt" in the notes to our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 further discussion on the Credit Agreement and convertible notes.</w:t>
      </w:r>
    </w:p>
    <w:p>
      <w:pPr>
        <w:spacing w:after="0" w:line="154"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Credit Agreement could have important negative consequences to the holders of our securities. For example, a portion of our cash flow from operations will be needed to pay certain interest to the Lenders and will not be available to fund future operations.</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Interest payments under the Credit Agreement will increase our cash outflows. The Loan bears interest at an annual rate of 9.75% if paid in cash, and 11.75% if paid-in-kind. At our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 with the outstanding balance to be repaid on the maturity date.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certain amounts when due would result in a default under the Credit Agreement and result in foreclosure on certain of our assets which would have a material adverse effect.</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Credit Agreement contains a financial covenant to maintain minimum liquidity of $50.0 million. The Credit Agreement contains affirmative and negative covenants customary for a senior secured loan. The negative covenants under the Credit Agreement limit our ability and our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17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 Any declaration by the Lenders of an event of default under the Credit Agreement could significantly harm our financial condition, business and prospects and could cause the price of our common stock to decline.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Convertible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our debt may require a significant amount of cash. We may not have sufficient cash flow from our business to pay our indebtedness.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November 2020, we completed a private offering of Notes, issuing an aggregate principal amount of $280.0 million of 4.00% convertible senior subordinated notes due 2025, or the 2025 Notes. The 2025 Notes bear interest at a fixed rate of 4.00% per annum and is payable semi-annually in arrears on May 15 and November 15 of each year, beginning on May 15, 2021. In October 2021, we announced that we had negotiated an exchange agreement with two co-managed holders of the notes to exchange with the Company $15.0 million aggregate principal amount of Notes held in the aggregate by them (and accrued interest thereon) for shares of the Company’s common stock, par value $0.001 per share.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In December, 2024, we entered into privately negotiated exchange and subscription agreements, or the Agreements, with certain holders of our outstanding 2025 Notes. Pursuant to the Agreements, we issued $100.0 million aggregate principal amount of 5.75% Convertible Senior Subordinated Notes due 2030, or the 2030 Notes, consisting of (a) approximately $57.5 million principal amount of 2030 Notes, along with approximately $153.4 million in cash, including accrued interest, issued in exchange for approximately $210.1 million principal amount of the 2025 Notes, or the Exchange Transaction, and (b) approximately $42.5 million principal amount of 2030 Notes for cash. As of December 31, 2024, $54.9 million aggregate principal amount of our 2025 Notes and $100.0 million aggregate principal amount of our 2030 Notes remain outstanding.</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in December 2024, we entered into a credit agreement, or the Credit Agreement, with Athyrium Opportunities IV Co-Invest 1 LP, HCR Stafford Fund II, L.P., HCR Potomac Fund II, L.P. and HCRX Investments HoldCo, L.P., as initial lenders. The Credit Agreement provides for a $150.0 million term loan, or the Loan, which was borrowed in full at closing. Proceeds from the Loan was used to repay a portion of the Company’s outstanding obligations under its existing 2025 Notes and to pay fees and expenses incurred in connection with entry into the Credit Agreement.</w:t>
      </w:r>
    </w:p>
    <w:p>
      <w:pPr>
        <w:spacing w:after="0" w:line="1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Loan bears interest at an annual rate of 9.75% if paid in cash, and 11.75% if paid-in-kind. At the Company’s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12.50%, with the outstanding balance to be repaid on December 13, 2029, which is the fifth anniversary of the closing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under our Credit Agreement and the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or in such obligations being accelerated by our lenders which, if not cured or waived, could result in the acceleration of our debt.</w:t>
      </w:r>
    </w:p>
    <w:p>
      <w:pPr>
        <w:spacing w:after="0" w:line="170" w:lineRule="exact"/>
        <w:rPr>
          <w:sz w:val="20"/>
          <w:szCs w:val="20"/>
          <w:color w:val="auto"/>
        </w:rPr>
      </w:pPr>
    </w:p>
    <w:p>
      <w:pPr>
        <w:jc w:val="both"/>
        <w:ind w:right="6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not have the ability to raise the funds necessary for cash settlement upon conversion of the Notes or to repurchase the Notes for cash upon a fundamental change, and our future debt may contain limitations on our ability to pay cash upon conversion of the Notes or to repurchase the Notes.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Holders of the Notes have the right to require us to repurchase their Notes upon the occurrence of a fundamental change (as defined in the indenture governing the Notes) at a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such notes or to pay any cash payable on future conversions of the Notes as required by such indenture would constitute a default under such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w:t>
      </w:r>
    </w:p>
    <w:p>
      <w:pPr>
        <w:spacing w:after="0" w:line="18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addition, our indebtedness, combined with our other financial obligations and contractual commitments, could have other important consequences. For example, it could:</w:t>
      </w:r>
    </w:p>
    <w:p>
      <w:pPr>
        <w:spacing w:after="0" w:line="190" w:lineRule="exact"/>
        <w:rPr>
          <w:sz w:val="20"/>
          <w:szCs w:val="20"/>
          <w:color w:val="auto"/>
        </w:rPr>
      </w:pPr>
    </w:p>
    <w:p>
      <w:pPr>
        <w:ind w:left="620" w:right="480" w:hanging="307"/>
        <w:spacing w:after="0" w:line="236" w:lineRule="auto"/>
        <w:tabs>
          <w:tab w:leader="none" w:pos="615"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make us more vulnerable to adverse changes in general U.S. and worldwide economic, industry and competitive conditions and adverse changes in government regulation;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limit our flexibility in planning for, or reacting to, changes in our business and our industry;</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place us at a disadvantage compared to our competitors who have less debt;</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limit our ability to borrow additional amounts to fund acquisitions, for working capital and for other general corporate purposes; and</w:t>
      </w:r>
    </w:p>
    <w:p>
      <w:pPr>
        <w:spacing w:after="0" w:line="223" w:lineRule="exact"/>
        <w:rPr>
          <w:rFonts w:ascii="Arial" w:cs="Arial" w:eastAsia="Arial" w:hAnsi="Arial"/>
          <w:sz w:val="21"/>
          <w:szCs w:val="21"/>
          <w:color w:val="auto"/>
        </w:rPr>
      </w:pPr>
    </w:p>
    <w:p>
      <w:pPr>
        <w:ind w:left="620" w:hanging="307"/>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make an acquisition of our company less attractive or more difficult.</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conditional conversion feature of the Notes, if triggered, may adversely affect our financial condition and results of operations.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relating to our Notes may affect the value of our common stock.</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conversion of some or all of the Notes would dilute the ownership interests of existing stockholders to the extent we satisfy our conversion obligation by delivering shares of our common stock upon any conversion of such Notes. Our Notes may become in the future convertible at the option of their holders under certain circumstances. If holders of our Notes elect to convert their notes, we may settle our conversion obligation by delivering to them a significant number of shares of our common stock, which would cause dilution to our existing stockholders.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in connection with the issuance of the 2025 Notes, we entered into the Capped Calls with certain financial institutions, or the Option Counterparties. The Capped Calls are generally expected to reduce potential dilution to our common stock upon any conversion or settlement of the 2025 Notes and/or offset any cash payments we are required to make in excess of the principal amount of converted Notes, with such reduction and/or offset subject to a cap.</w:t>
      </w:r>
    </w:p>
    <w:p>
      <w:pPr>
        <w:spacing w:after="0" w:line="1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Capped Calls, the Option Counterparties or their respective affiliates entered into various derivative transactions with respect to our common stock and/or purchased shares of our common stock concurrently with or shortly after the pricing of the 2025 Notes.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Notes (and are likely to do so following any conversion of the 2025 Notes, any repurchase of the 2025 Notes by us on any fundamental change repurchase date, any redemption date, or any other date on which the Notes are retired by us, in each case, if we exercise our option to terminate the relevant portion of the Capped Calls). This activity could cause a decrease and/or increased volatility in the market price of our common stock.</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do not make any representation or prediction as to the direction or magnitude of any potential effect that the transactions described above may have on the price of the 2025 Notes or our common stock. In addition, we do not make any representation that the Option Counterparties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Capped Calls.</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restrict our operations or require us to relinquish rights.</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may seek additional cash resources through a combination of collaborations with third parties, strategic alliances, licensing arrangements, permitted debt financings, permitted royalty-based financings, private and public equity offerings or through other sources.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Debt or royalty-based financings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such as the collaboration arrangements with DSE, Otsuka and DS and the royalty sale agreement, we may have to relinquish valuable rights to bempedoic acid or the bempedoic acid / ezetimibe combination tablet, our intellectual property, future revenue streams or grant licenses on terms that are not favorable to us. For instance, as part of the Credit Agreement, the lenders thereto have the right to receive certain extraordinary payments from us and we have granted the lenders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74"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and principal stockholders, if they choose to act together, will continue to have the ability to exert significant influence over matters subject to stockholder approval.</w:t>
      </w:r>
    </w:p>
    <w:p>
      <w:pPr>
        <w:spacing w:after="0" w:line="14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At December 31, 2024, our executive officers, directors, combined with our stockholders who own more than 5% of our outstanding capital stock, and entities affiliated with certain of our directors beneficially owned approximately 36% of our outstanding voting common stock. These stockholders have the ability to influence us through their ownership position. These stockholders may be able to determine the outcome of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22"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Provisions in our certificate of incorporation and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4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6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an investment in our stock may decline. If we fail to comply with the continuing listing standards of Nasdaq, our securities could be delisted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common stock has experienced, and may continue to experience, substantial price volatility. The trading price of common stock may fluctuate significantly in response to a number of factors, many of which are beyond our control. For instance, if our financial results are below the expectations of securities analysts and investors, the market price of our common stock could decrease, perhaps significantly. Other factors that may affect the market price of common stock, including announcements relating to significant corporate transactions, fluctuations in quarterly and annual financial results, operating and stock price performance of companies that investors deem comparable to us, changes in government regulation or related proposals and international conflict. In addition, the U.S. securities markets have experienced significant price and volume fluctuations, and these fluctuations often have been unrelated to the operating performance of companies in these markets. Any volatility of or a significant decrease in the market price of common stock could also limit our ability to raise capital by issuing additional equity. Further, if we were to be the object of securities class action litigation as a result of volatility in common stock price or for other reasons, it could result in substantial costs and diversion of management’s attention and resources, which could negatively affect our financial results. The occurrence of any one or more of the factors noted in these risk factors could cause the market price of our common stock to be below the $1.00 Nasdaq minimum price requirement.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6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67"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As of December 31, 2024, our patent estate, including patents we own, on a worldwide basis, included approximately 11 issued United States patents and 10 pending United States patent applications and over 30 issued patents and over 90 pending patent applications in other foreign jurisdictions. Of our worldwide patent estate, only a subset of our patents and pending patent applications relates to our bempedoic acid program.</w:t>
      </w:r>
    </w:p>
    <w:p>
      <w:pPr>
        <w:spacing w:after="0" w:line="1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Bempedoic acid is claimed in U.S. Patent No. 7,335,799 that is scheduled to expire in December 2030, which includes 711 days of patent term adjustment and five years of patent term extension. We believe that this patent could also be the subject of an additional six month pediatric exclusivity period.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w:t>
      </w:r>
    </w:p>
    <w:p>
      <w:pPr>
        <w:spacing w:after="0" w:line="20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7"/>
          <w:szCs w:val="17"/>
          <w:color w:val="auto"/>
        </w:rPr>
        <w:t>Additionally, we have one patent family that includes U.S. Patent Nos. 11,407,705 and 11,987,548, directed to methods of manufacturing high purity bempedoic acid, and one pending U.S. patent application directed to the same and compositions of matter; U.S. Patent No. 11,613,511 directed to compositions of matter of high purity bempedoic acid, and one pending U.S. patent application directed to the same; U.S. Patent No. 11,760,714 directed to pharmaceutical formulations containing high purity bempedoic acid; U.S. Patent No. 11,926,584 directed to methods of lowering LDL-C using high purity bempedoic acid and one pending U.S. patent application directed to additional methods of treatment using the same; and one granted patent and 19 pending patent applications outside of the United States. U.S. Patent Nos. 11,407,705, 11,613,511, 11,760,714, 11,926,584 and 11,987,548 and the other patent family members, if issued, are scheduled to expire in June 2040.</w:t>
      </w:r>
    </w:p>
    <w:p>
      <w:pPr>
        <w:spacing w:after="0" w:line="20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addition, we have three patent families in which we are pursuing patent protection for our bempedoic acid and bempedoic acid / ezetimibe combination tablet in combination with one or more statins. Methods of treating familial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hypercholesterolemia with the bempedoic acid / ezetimibe combination tablet are claimed in U.S. Patent Nos. 10,912,751 and 11,744,816 that are scheduled to expire in March 2036. We also have one pending U.S. patent application, and 10 granted patents and 10 pending applications outside the U.S. with claims directed to methods of treatment using the bempedoic acid / ezetimibe combination tablet. Additionally, we have one pending U.S. patent application, and 10 granted patents and 23 pending applications outside the U.S. directed to the manufacturing of our bempedoic acid / ezetimibe combination tablet. We also have one issued U.S. patent, i.e., U.S. Patent No. 11,116,739, one pending U.S. patent application, and 12 granted patents and 11 pending applications outside the U.S., with claims directed to fixed dose combinations of bempedoic acid and one or more statins and/or methods of using said fixed dose combinations. U.S. Patent No. 11,116,739 is scheduled to expire in March 2036. A European patent in this patent family is currently being opposed at the European Patent Office.</w:t>
      </w:r>
    </w:p>
    <w:p>
      <w:pPr>
        <w:spacing w:after="0" w:line="2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USPTO, for the entire time prior to issuance as a U.S. patent. Patent applications filed in countries outside of the United States are not typically published until at least</w:t>
      </w:r>
    </w:p>
    <w:p>
      <w:pPr>
        <w:spacing w:after="0" w:line="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spacing w:after="0" w:line="16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We cannot assure you that any of our patents have, or that any of our pending patent applications will mature into issued patents that will include, claims with a scope sufficient to protect bempedoic acid or the bempedoic acid / ezetimibe combination tablet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came into force during 2023. The UPC is a common patent court to hear patent infringement and revocation proceedings effective for member states of the EU.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proceeding can result in a third-party receiving the patent right sought by us, which in turn could affect our ability to develop, market or otherwise commercialize bempedoic acid and the bempedoic acid / ezetimibe combination tablet.</w:t>
      </w:r>
    </w:p>
    <w:p>
      <w:pPr>
        <w:spacing w:after="0" w:line="19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product candidates, patents protecting such candidates might expire before or shortly after such candidates are commercialized. We have obtained a five-year patent term extension in the United States for U.S. Patent No. 7,335,799 and have obtained five-year supplementary protection certificates for one of the granted, counterpart European patents. In the United States, the Hatch-Waxman Act permits a patent term extension of up to five years beyond the normal expiration of the patent, but the total patent term including the restoration period must not exceed 14 years following FDA approval. However,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19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spacing w:after="0" w:line="17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Furthermore, in March, April, June and August 2024, we received notices from nine pharmaceutical companies, six of which filed exclusively with respect to NEXLETOL and four of which filed with respect to NEXLETOL and NEXLIZET (each, an “ANDA Filer”), that each company had filed an ANDA, with the FDA seeking approval of a generic version of NEXLETOL and/or NEXLIZET, as applicable. The ANDAs each contained Paragraph IV certifications alleging that certain of our Orange Book listed patents covering NEXLETOL or NEXLIZET, as applicable, are invalid and/or will not be infringed by each ANDA Filer’s manufacture, use or sale of the medicine for which the ANDA was submitted. It is possible that one or more additional companies may file with the FDA an ANDA for a generic version of, or an 505(b)(2) 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 acid or bempedoic acid / ezetimibe combination tablet. For further details, please see our risk factor entitled “</w:t>
      </w:r>
      <w:r>
        <w:rPr>
          <w:rFonts w:ascii="Times New Roman" w:cs="Times New Roman" w:eastAsia="Times New Roman" w:hAnsi="Times New Roman"/>
          <w:sz w:val="17"/>
          <w:szCs w:val="17"/>
          <w:i w:val="1"/>
          <w:iCs w:val="1"/>
          <w:color w:val="auto"/>
        </w:rPr>
        <w:t>If the FDA, EMA or other comparable foreign regulatory authorities approve generic or other versions of bempedoic acid or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bempedoic acid / ezetimibe combination tablet, the sales of our approved products could be adversely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degree of future protection for our proprietary rights is uncertain, and we cannot ensure that:</w:t>
      </w:r>
    </w:p>
    <w:p>
      <w:pPr>
        <w:spacing w:after="0" w:line="205" w:lineRule="exact"/>
        <w:rPr>
          <w:sz w:val="20"/>
          <w:szCs w:val="20"/>
          <w:color w:val="auto"/>
        </w:rPr>
      </w:pPr>
    </w:p>
    <w:p>
      <w:pPr>
        <w:ind w:left="620" w:right="40" w:hanging="307"/>
        <w:spacing w:after="0" w:line="288"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patents, or any of our pending patent applications, if issued, will include claims having a scope and patent term sufficient to protect bempedoic acid or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pending patent applications will result in issued patents;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line="288"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able to successfully commercialize bempedoic acid or the bempedoic acid / ezetimibe combination tablet in all of the jurisdictions we intend to pursue before our relevant patents expire;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make the inventions covered by each of our patents and pending patent applications;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file patent applications for these inventions;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will not develop similar or alternative technologies that do not infringe our patents;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patents will be valid and enforceable;</w:t>
      </w:r>
    </w:p>
    <w:p>
      <w:pPr>
        <w:spacing w:after="0" w:line="217" w:lineRule="exact"/>
        <w:rPr>
          <w:rFonts w:ascii="Times New Roman" w:cs="Times New Roman" w:eastAsia="Times New Roman" w:hAnsi="Times New Roman"/>
          <w:sz w:val="17"/>
          <w:szCs w:val="17"/>
          <w:color w:val="auto"/>
        </w:rPr>
      </w:pPr>
    </w:p>
    <w:p>
      <w:pPr>
        <w:ind w:left="620" w:right="720" w:hanging="307"/>
        <w:spacing w:after="0" w:line="288"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patents issued to us will provide a basis for an exclusive market for our commercially viable products, will provide us with any competitive advantages or will not be challenged by third parties;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develop additional proprietary technologies or product candidates that are separately patentable;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our commercial activities or products, or those of our licensors, will not infringe upon the patents of others.</w:t>
      </w:r>
    </w:p>
    <w:p>
      <w:pPr>
        <w:spacing w:after="0" w:line="24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71"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4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contract manufacturers, vendors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we cannot guarantee that we have executed these agreements with each party that may have or have had access to our trade secrets.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Moreover, because we acquired certain rights from Pfizer, we must rely on Pfizer’s practices, and those of its predecessors, with regard to parties that may have had access to our trade secrets related thereto before our incorporation. Any party with whom we or they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disclose such trade secrets, from using that technology or information to compete with us. If any of our trade secrets were to be disclosed, either intentionally or unintentionally, to or independently developed by a competitor or other third-party,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U.S. patent law could diminish the value of patents in general, thereby impairing our ability to protect our products.</w:t>
      </w:r>
    </w:p>
    <w:p>
      <w:pPr>
        <w:spacing w:after="0" w:line="22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United States has enacted the America Invents Act of 2011, which is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4"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could become dependent on licensed intellectual property. If we were to lose our rights to licensed intellectual property, we may not be able to continue developing or commercializing bempedoic acid or the bempedoic acid / ezetimibe combination tablet or other product candidates, if approved.</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the future, we may enter into license(s) to third-party intellectual property that are necessary or useful to our business. Such license agreement(s) will likely impose various obligations upon us, and our licensor(s) may have the right to terminate the license thereunder in the event of a material breach or, in some cases, at will. Future licensor(s) may allege that we have breached our license agreement with them and accordingly seek to terminate our license or decide to terminate our license at will. If successful, this could result in our loss of the right to use the licensed intellectual property, which could materially adversely affect our ability to develop and commercialize our products and product candidates as well as harm our competitive business position and our business prospects.</w:t>
      </w:r>
    </w:p>
    <w:p>
      <w:pPr>
        <w:spacing w:after="0" w:line="167" w:lineRule="exact"/>
        <w:rPr>
          <w:sz w:val="20"/>
          <w:szCs w:val="20"/>
          <w:color w:val="auto"/>
        </w:rPr>
      </w:pPr>
    </w:p>
    <w:p>
      <w:pPr>
        <w:ind w:right="8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Filing, prosecuting and defending patents on our products and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with us.</w:t>
      </w:r>
    </w:p>
    <w:p>
      <w:pPr>
        <w:spacing w:after="0" w:line="1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emerging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successful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16"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a collaborative partner terminates or fails to perform its obligations under an agreement with us, the commercialization of bempedoic acid and the bempedoic acid / ezetimibe combination tablet could be delayed or terminated.</w:t>
      </w:r>
    </w:p>
    <w:p>
      <w:pPr>
        <w:spacing w:after="0" w:line="1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In January 2019, we entered into a license and collaboration agreement with DSE, pursuant to which DSE will be responsible for the commercialization of bempedoic acid and the bempedoic acid / ezetimibe combination tablet in the DSE Territory. In April 2020, we entered into a license and collaboration agreement with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if approved. In April 2021, we entered into a license and collaboration agreement with DS, pursuant to which DS will be responsible for the commercialization of bempedoic acid and the bempedoic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acid / ezetimibe combination in South Korea, Taiwan, Hong Kong, Thailand, Vietnam, Brazil, Macao, Cambodia and Myanmar, or the DS Territory. Except for certain development activities in South Korea and Taiwan, DS will be responsible for development and commercialization in these territories. We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current or future 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current or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w:t>
      </w:r>
    </w:p>
    <w:p>
      <w:pPr>
        <w:spacing w:after="0" w:line="2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fifteen percent (15%) to thirty percent (30%)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 products, and on our (or our partners')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current and future collaboration partners may fail to develop or effectively commercialize products using our products or technologies because they:</w:t>
      </w:r>
    </w:p>
    <w:p>
      <w:pPr>
        <w:spacing w:after="0" w:line="388" w:lineRule="exact"/>
        <w:rPr>
          <w:sz w:val="20"/>
          <w:szCs w:val="20"/>
          <w:color w:val="auto"/>
        </w:rPr>
      </w:pPr>
    </w:p>
    <w:p>
      <w:pPr>
        <w:jc w:val="both"/>
        <w:ind w:left="620" w:right="200" w:hanging="307"/>
        <w:spacing w:after="0" w:line="270"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spacing w:after="0" w:line="167"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to pursue other technologies or develop other product candidates, either on their own or in collaboration with others, including our competitors, to treat the same diseases targeted by our own collaborative programs;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have sufficient resources necessary to carry the product candidate through clinical development, marketing approval and commercialization;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cannot obtain the necessary marketing approvals.</w:t>
      </w:r>
    </w:p>
    <w:p>
      <w:pPr>
        <w:spacing w:after="0" w:line="24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Receipt of any milestone payment amounts is subject to risks and uncertainties, including our (or our partners) obtaining the relevant regulatory approvals and marketing authorizations,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some or all of our milestone payments and other royalty amounts from our collaboration partners may significantly impact our future capital needs.</w:t>
      </w:r>
    </w:p>
    <w:p>
      <w:pPr>
        <w:spacing w:after="0" w:line="1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current or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will be unable to directly control all aspects of our clinical studies due to our reliance on CROs and other third parties that assist us in conducting clinical studies.</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relied on CROs in our prior clinical studies, including our global pivotal Phase 3 clinical studies and our pivotal Phase 3 1002FDC-053 clinical study and the CLEAR Outcomes CVOT, as well as any future clinical studies we may undertake. As a result, we will have less direct control over the conduct, timing and completion of future clinical studies and the management of data developed through the clinical studies than would be the case if we were relying entirely upon our own staff. Communicating with outside parties can also be challenging, potentially leading to mistakes as well as difficulties in coordinating activities. Outside parties may:</w:t>
      </w:r>
    </w:p>
    <w:p>
      <w:pPr>
        <w:spacing w:after="0" w:line="173"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staffing difficulties;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comply with contractual obligations;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regulatory compliance issues;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changes in priorities or become financially distressed;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relationships with other entities, some of which may be our competitors.</w:t>
      </w:r>
    </w:p>
    <w:p>
      <w:pPr>
        <w:spacing w:after="0" w:line="24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These factors may materially adversely affect the willingness or ability of third parties to conduct our clinical studies and may subject us to unexpected cost increases that are beyond our control.</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Moreover, the FDA requires us to comply with standards, commonly referred to as Good Clinical Practices, for conducting, recording, and reporting the results of clinical studies to assure that data and reported results are credible and accurate and that the rights, integrity and confidentiality of clinical study participants are protected. Our reliance on third parties that we do not control does not relieve us of these responsibilities and requirements.</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Foreign CROs may be subject to U.S. legislation or investigations, including legislation similar to the previously proposed BIOSECURE Act,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could adversely affect our financial condition and business prospects. Regional or single-source dependencies may in some cases accentuate these risks. For example, the pharmaceutical industry generally, and in some instances our Company,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BIOSECURE Act or a similar law were to be enacted. Problems with the timeliness or quality of the work of any CRO may lead us to seek to terminate our relationship with any such CRO and use an alternative service provider. Making this change may be costly and may delay our clinical studies, and contractual restrictions may make such a change difficult or impossible to effect. If we must replace any CRO that is conducting our clinical studies, our clinical studies may have to be suspended until we find another CRO that offers comparable services. The time that it takes us to find alternative organizations may cause a delay in the commercialization of bempedoic acid or the bempedoic acid / ezetimibe combination tablet or may cause us to incur significant expenses to replicate data that may be lost. Although we do not believe that any CRO on which we may rely will offer services that are not available elsewhere, it may be difficult to find a replacement organization that can conduct our clinical studies in an acceptable manner and at an acceptable cost. Any delay in or inability to complete our clinical studies could significantly compromise our ability to secure regulatory approval of bempedoic acid or the bempedoic acid / ezetimibe combination tablet for additional indications we may seek and preclude our ability to commercialize bempedoic acid or the bempedoic acid / ezetimibe combination tablet, thereby limiting or preventing our ability to generate revenue from its sales.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third-party suppliers to manufacture our clinical drug supplies for bempedoic acid and the bempedoic acid / ezetimibe combination tablet and rely on third parties to produce commercial supplies of bempedoic acid and the bempedoic acid / ezetimibe combination tablet and preclinical, clinical and commercial supplies of any future product candidate.</w:t>
      </w:r>
    </w:p>
    <w:p>
      <w:pPr>
        <w:spacing w:after="0" w:line="16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We do not currently have, nor do we plan to acquire, the infrastructure or capability to internally manufacture our commercial supply and clinical drug supply of bempedoic acid and the bempedoic acid / ezetimibe combination tablet, or any future product candidates, for use in the commercialization and conduct of our preclinical studies and clinical studies, and we lack the internal resources and the capability to manufacture any product candidates on a commercial or clinical scale. In addition, we have no control over the production of ezetimibe for the bempedoic acid / ezetimibe combination tablet. The facilities used by our contract manufacturers to manufacture the API and final drug for bempedoic acid, or any future product candidates, must be approved by the FDA and other comparable foreign regulatory agencies pursuant to inspections that would be conducted after submission of our NDA or relevant foreign regulatory submission to the applicable regulatory agency.</w:t>
      </w:r>
    </w:p>
    <w:p>
      <w:pPr>
        <w:spacing w:after="0" w:line="1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While we have monitoring measures and quality agreements in place with our suppliers, we do not control the manufacturing process of, and are completely dependent on, our contract manufacturers to comply with current cGMP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 comparable foreign regulatory agency does not approve these facilities for the manufacture of our products and product candidates or if it withdraws its approval in the future, we may need to find alternative manufacturing facilities, which would adversely impact our ability to commercialize, develop, obtain regulatory approval for or market our products and product candidates. If any contract manufacturer with whom we contract fails to perform its obligations, we may be forced to manufacture the materials ourselves, for which we may not have the capabilities or resources, or enter into an agreement with a different contract manufacturer, which we may not be able to do on reasonable terms, if at all. In either scenario, our commercialization supply or clinical trials supply could be delayed significantly as we establish alternative supply sources.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products and product candidates according to the specifications previously submitted to or approved by the FDA or another regulatory authority. The delays associated with the verification of a new contract manufacturer could negatively affect our ability to develop product candidates or commercialize our products in a timely manner or within budget. Furthermore, a contract manufacturer may possess technology related to the manufacturing of our products and product candidates that such contract manufacturer owns independently. This would increase our reliance on such contract manufacturer or require us to obtain a license from such contract manufacturer in order to have another contract manufacturer manufacture our product and product candidates. In addition, in the case of the contract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21"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7"/>
          <w:szCs w:val="17"/>
          <w:color w:val="auto"/>
        </w:rPr>
        <w:t>Under the CARES Act, we must have in place an RMP that identifies and evaluates the risks to the supply of approved drugs for certain serious diseases or conditions for each establishment where the drug or API is manufactured. The RMP will be subject to FDA review during an inspection. If we experience shortages in the supply of our marketed products, our results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is likely to be volatile, which could result in substantial losses for purchasers of our common stock.</w:t>
      </w:r>
    </w:p>
    <w:p>
      <w:pPr>
        <w:spacing w:after="0" w:line="2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trading price of our common stock has been, and may continue to be,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price for our common stock may be influenced by many factors, including:</w:t>
      </w:r>
    </w:p>
    <w:p>
      <w:pPr>
        <w:spacing w:after="0" w:line="244"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joint ventures, collaborations or capital commitments;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clinical trials of product candidates, or our competitors’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actions with respect to our product candidates or our competitors’ products and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or termination of collaborations for our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discontinuation of any of our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any of our product candidates or clinical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develop additional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our commercial performance, financial results or development timelines;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243" w:lineRule="exact"/>
        <w:rPr>
          <w:rFonts w:ascii="Times New Roman" w:cs="Times New Roman" w:eastAsia="Times New Roman" w:hAnsi="Times New Roman"/>
          <w:sz w:val="17"/>
          <w:szCs w:val="17"/>
          <w:color w:val="auto"/>
        </w:rPr>
      </w:pPr>
    </w:p>
    <w:p>
      <w:pPr>
        <w:ind w:left="620" w:right="460" w:hanging="307"/>
        <w:spacing w:after="0" w:line="288"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our insiders or other stockholders, including shares issuable upon exercise of outstanding stock options and upon vesting of stock units under our stock incentive plans;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financial results or results of companies that are perceived to be similar to us;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 active trading market for our shares is sustained;</w:t>
      </w:r>
    </w:p>
    <w:p>
      <w:pPr>
        <w:spacing w:after="0" w:line="243"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evaluations or recommendations by securities analysts, that cover our stock or the failure by one or more securities analysts to continue to cover our stock;</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230" w:lineRule="exact"/>
        <w:rPr>
          <w:rFonts w:ascii="Times New Roman" w:cs="Times New Roman" w:eastAsia="Times New Roman" w:hAnsi="Times New Roman"/>
          <w:sz w:val="17"/>
          <w:szCs w:val="17"/>
          <w:color w:val="auto"/>
        </w:rPr>
      </w:pPr>
    </w:p>
    <w:p>
      <w:pPr>
        <w:ind w:left="620" w:right="220" w:hanging="307"/>
        <w:spacing w:after="0" w:line="272"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societal and economic impact of any future public health epidemics, pandemics or outbreaks of infectious disease and any recession, depression or sustained market event resulting from such public health crises;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industry and market conditions;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ectPr>
          <w:pgSz w:w="11900" w:h="16838" w:orient="portrait"/>
          <w:cols w:equalWidth="0" w:num="1">
            <w:col w:w="11200"/>
          </w:cols>
          <w:pgMar w:left="320" w:top="123"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also cannot guarantee that an active trading market for our shares will be sustained. An inactive trading market for our common stock may impair our ability to raise capital to continue to fund our operations by selling shares and may impair our ability to acquire other companies or technologies by using our shares as consideration.</w:t>
      </w:r>
    </w:p>
    <w:p>
      <w:pPr>
        <w:spacing w:after="0" w:line="18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Complying with public company reporting and other obligations may strain our financial and managerial resources. Additionally, we are obligated to maintain proper and effective internal control over financial reporting. 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a public company, we are required to comply with applicable provisions of the Sarbanes-Oxley Act of 2002, as well as other rules and regulations promulgated by the SEC and the NASDAQ Stock Market LLC, or NASDAQ, which results in significant continuing legal, accounting, administrative and other costs and expenses.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subject to Section 404 of the Sarbanes-Oxley Act of 2002, or Section 404, and the related rules of the SEC that generally require our management and independent registered public accounting firm to report on the effectiveness of our internal control over financial reporting. Section 404 requires an annual management assessment, as well as an opinion from our independent registered public accounting firm, on the effectiveness of our internal control over financial reporting. During the 2023 and 2022 year end audit, due to a change in filing status our independent registered public accounting firm was not required and did not issue a report on the effectiveness of our internal controls over financial reporting. Management assessed our internal controls over financial reporting, including by using a third-party firm, and determined that their internal controls were effective as of December 31, 2024, 2023 and 2022. Our independent registered public accounting firm did issue a report on the effectiveness of our internal controls over financial reporting for the year ended December 31, 2024, which is included in Item 9A "Controls and Procedures" on this Annual Report on 10-K.</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course of our review and testing, we may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we are required to timely file accurate quarterly and annual reports with the SEC under the Securities Exchange Act of 1934, or the Exchange Act, as amended. In order to report our results of operations and financial statements on an accurate and timely basis, we depend on CROs to provide timely and accurate notice of their costs to us. Any failure to report our financial results on an accurate and timely basis could result in sanctions, lawsuits, delisting of our shares from the NASDAQ Global Market or other adverse consequences that would materially harm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2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securities or industry analysts publish about us, our business, our market or</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competitors. If one or more of the industry analysts who covers us downgrades our stock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stock could decrease, which could cause our stock price or trading volume to decline.</w:t>
      </w:r>
    </w:p>
    <w:p>
      <w:pPr>
        <w:spacing w:after="0" w:line="18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Increased attention to, and evolving expectations for, environmental, climate change, social, and governance (ESG) initiatives could increase our costs, harm our reputation, or otherwise adversely impact our business.</w:t>
      </w:r>
    </w:p>
    <w:p>
      <w:pPr>
        <w:spacing w:after="0" w:line="172"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7"/>
          <w:szCs w:val="17"/>
          <w:color w:val="auto"/>
        </w:rPr>
        <w:t>Companies across industries are facing increasing scrutiny from a variety of stakeholders related to their ESG and sustainability practices, including practices associated with climate change. Investor advocacy groups, certain institutional investors, investment funds, and other influential investors have increasingly focused on ESG practices and have placed increasing importance on the non-financial impacts of their investments.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20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19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In addition, in recent years “anti-ESG” sentiment has gained momentum across the United States,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 Therefore, to the extent we take actions that are seen as positive to some investors, other investors may take issue with such actions or face regulatory pressure to refrain from investing in, or divest from, our business. To the extent ESG matters negatively impact our reputation, it may also impede our ability to compete as effectively to attract and retain employees, which may adversely impact our operations.</w:t>
      </w:r>
    </w:p>
    <w:p>
      <w:pPr>
        <w:spacing w:after="0" w:line="2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In addition, we expect there will likely be increasing levels of regulation, disclosure-related and otherwise, with respect to ESG matters. For example, the SEC has published proposed rules that would require companies to provide significantly expanded climate-related disclosures in their periodic reporting. The new climate disclosure rules were the subject of multiple legal challenges, and the SEC voluntarily stayed the climate disclosure rules pending the completion of judicial review. Therefore, it is unknown whether the new rules will go into effect and if they do, whether there will be significant changes. If the new rules go into effect and are not substantially different than the rules adopted by the SEC, we may be required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Even if the SEC rules are not adopted, states or ex-U.S. jurisdictions in which we currently or may in the future operate may also have or adopt ESG or climate-related disclosure rules requiring similar or broader disclosure obligations.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391"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the past, U.S. debt ceiling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w:t>
      </w:r>
    </w:p>
    <w:p>
      <w:pPr>
        <w:spacing w:after="0" w:line="197"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7"/>
          <w:szCs w:val="17"/>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172"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Unfavorable macroeconomic conditions or market volatility resulting from global economic conditions, including those affecting the financial services industry, could adversely affect our business, financial condition or results of operations.</w:t>
      </w:r>
    </w:p>
    <w:p>
      <w:pPr>
        <w:spacing w:after="0" w:line="17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color w:val="auto"/>
        </w:rPr>
        <w:t>Adverse market or macroeconomic conditions or market volatility resulting from global economic developments, political unrest, high inflation, rising interest rates, changes in international trade relationships and military conflicts, such as the ongoing conflict between Russia and Ukraine and the conflict between Israel and Hamas, the post-COVID environment or other factors, could materially and adversely affect our business operations.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A severe or prolonged economic downturn or additional global financial crises could result in a variety of risks to our business, including weakened demand for any product candidates we develop or our ability to raise additional capital when needed on acceptable terms, if at all.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Any of the foregoing could harm our business and we cannot anticipate all of the ways in which the current economic climate and financial market conditions could adversely impact our business.</w:t>
      </w:r>
    </w:p>
    <w:p>
      <w:pPr>
        <w:spacing w:after="0" w:line="19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U.S. Congress, the Trump administration, or any new administration may make substantial changes to fiscal, tax, and other federal policies that may adversely affect our business.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 Risk Management and Strategy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under the oversight of the audit committee of our board of directors, have implemented and maintain a cybersecurity framework, informed by the Center of</w:t>
      </w:r>
    </w:p>
    <w:p>
      <w:pPr>
        <w:spacing w:after="0" w:line="2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Internet Security, or CIS, cybersecurity framework. This includes policies, processes and technologies designed to minimize risks from cybersecurity threats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We maintain oversight of our third-party vendors with access to our information technology resources through the inclusion of contractual security requirements as appropriate.</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Our cybersecurity approach is designed to minimize risks from cybersecurity threats identified by internal stakeholders, threat intelligence providers, vulnerability management programs, and security management programs. Our internal team manages and maintains remediation strategies for identified risks, and reports on them periodically to senior leadership. We also require our employees to participate in monthly cybersecurity awareness trainings, which include phishing awareness simulations, to raise employee awareness of cybersecurity risks.</w:t>
      </w:r>
    </w:p>
    <w:p>
      <w:pPr>
        <w:spacing w:after="0" w:line="122"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As appropriate, we assess our internal controls, including controls around our information technology systems and their impact on our financial statements or systems, through either independent audits or internal assessments with the assistance of third party resources.</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have, from time to time, experienced threats and cybersecurity incidents relating to our information technology systems and infrastructure. Our third party vendors may also experience threats and cybersecurity incidents from time to time. For more information, please refer to Item 1A, “Risk Factors,” in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Related to Cybersecurity Risks</w:t>
      </w:r>
    </w:p>
    <w:p>
      <w:pPr>
        <w:spacing w:after="0" w:line="15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Our cybersecurity program and related operations and processes are directed by our Executive Director of Information Technology, whom we refer to as the IT Director. Currently, the IT Director role is held by an individual who has over 16 years of cybersecurity, information technology, and systems engineering experience. The Director of IT reports to our management – currently the Chief Business Officer.</w:t>
      </w:r>
    </w:p>
    <w:p>
      <w:pPr>
        <w:spacing w:after="0" w:line="11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7"/>
          <w:szCs w:val="17"/>
          <w:color w:val="auto"/>
        </w:rPr>
        <w:t>The IT Director meets with the Chief Financial Officer, the Chief Compliance Officer, and the General Counsel periodically to monitor and review the outcomes of our cybersecurity program and to discuss and decide matters related to cybersecurity treatment strategy (including mitigations). The IT Director and the Chief Financial Officer provide periodic reports to the audit committee on cybersecurity risk management, and, quarterly, the Chief Financial Officer updates the audit committee of any material changes in the Company's cybersecurity framework or cybersecurity activity. The audit committee is responsible for reviewing and overseeing our risk management process, including risks from cybersecurity threats, pursuant to the audit committee charter. Our board of directors, as a whole and through its committees, has responsibility for the oversight of risk management. In its risk oversight role, our board of directors has the responsibility to confirm that the risk management processes designed and implemented by management are appropriate and functioning as designed.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8"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11,500 square feet of office space. We believe our current facilities will be sufficient to meet our needs until expiration.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DSE Litigation</w:t>
      </w:r>
    </w:p>
    <w:p>
      <w:pPr>
        <w:spacing w:after="0" w:line="20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On March 27, 2023, we filed a complaint in the United States District Court for the Southern District of New York seeking declaratory judgment against DSE regarding the Company’s right to receive a $300.0 million milestone payment upon inclusion of cardiovascular risk reduction in the EU label that correlates with a relative risk reduction rate of at least 20%, based on the results of the CLEAR Outcomes CVOT. On May 4, 2023, we filed an amended complaint against DSE in the Southern District of New York which seeks a judicial declaration, on an expedited basis, that DSE is contractually required to make a $300.0 million milestone payment to us upon applicable regulatory approval. On June 20, 2023, DSE filed a response to our amended complaint.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DSE to amicably resolve and dismiss the commercial dispute that was pending in the Southern District of New York, or the Settlement Agreement. Under the Settlement Agreement, DSE agreed to pay us an aggregate of $125.0 million, including (1) a $100.0 million payment within 15 business days of the effective date of the Settlement Agreement and (2) a $25.0 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ASCVD. The legal action pending in the United States District Court for the Southern District of New York has was subsequently dismissed.</w:t>
      </w:r>
    </w:p>
    <w:p>
      <w:pPr>
        <w:spacing w:after="0" w:line="165"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we entered into a 3rd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The DSE Amendment and the DS Amendment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or the DSE Territory, and the DS Territory. Further, after a transition period, DSE and DS will assume sole responsibility for the manufacture of NILEMDO and NUSTENDI for, respectively, the DSE Territory and DS Territory. As of January 2, 2024, DSE has sole authority and control of regulatory communications with the EMA regarding the pending marketing authorization applications for NILEMDO and NUSTENDI.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ANDA Litigation</w:t>
      </w:r>
    </w:p>
    <w:p>
      <w:pPr>
        <w:spacing w:after="0" w:line="24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or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1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Hatch-Waxman Act to the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NDA or entry of judgment holding the patents invalid, unenforceable, or not infringed, whichever occurs first.</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an affiliate); Dr. Reddy’s Laboratories Inc. (along with an affiliate); Hetero USA Inc. (along with affiliates); Micro Labs USA Inc. (along with an affiliate);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The trial is anticipated to begin no earlier than January 2027, but no trial date has been set.</w:t>
      </w:r>
    </w:p>
    <w:p>
      <w:pPr>
        <w:spacing w:after="0" w:line="205" w:lineRule="exact"/>
        <w:rPr>
          <w:sz w:val="20"/>
          <w:szCs w:val="20"/>
          <w:color w:val="auto"/>
        </w:rPr>
      </w:pPr>
    </w:p>
    <w:p>
      <w:pPr>
        <w:ind w:right="140"/>
        <w:spacing w:after="0" w:line="211" w:lineRule="exact"/>
        <w:rPr>
          <w:sz w:val="20"/>
          <w:szCs w:val="20"/>
          <w:color w:val="auto"/>
        </w:rPr>
      </w:pPr>
      <w:r>
        <w:rPr>
          <w:rFonts w:ascii="Times New Roman" w:cs="Times New Roman" w:eastAsia="Times New Roman" w:hAnsi="Times New Roman"/>
          <w:sz w:val="17"/>
          <w:szCs w:val="17"/>
          <w:color w:val="auto"/>
        </w:rPr>
        <w:t>We are currently involved, as we are from time to time, in legal proceedings that arise in the ordinary course of our business. We believe that we have adequately accrued for these liabilities and that there is no other litigation pending that could materially harm our results of operations and financial condition. See "Commitments and Contingencies" under Note 5 to our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 further discussion of our current legal proceedings.</w:t>
      </w:r>
    </w:p>
    <w:p>
      <w:pPr>
        <w:spacing w:after="0" w:line="19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“ESPR”.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31, 2025, there were 5 stockholders of record, which excludes stockholders whose shares were held in nominee or street name by brokers.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following graph illustrates a comparison of the total cumulative stockholder return for our common stock since December 31, 2019, to two indices: the NASDAQ Composite Index and the NASDAQ Biotechnology Index. The graph set forth below compares the cumulative total stockholder return on an initial investment of $100 in our common stock from December 31, 2019 through December 31, 2024, with the comparative cumulative total return of such amount on</w:t>
      </w:r>
    </w:p>
    <w:p>
      <w:pPr>
        <w:spacing w:after="0" w:line="2" w:lineRule="exact"/>
        <w:rPr>
          <w:sz w:val="20"/>
          <w:szCs w:val="20"/>
          <w:color w:val="auto"/>
        </w:rPr>
      </w:pPr>
    </w:p>
    <w:p>
      <w:pPr>
        <w:ind w:firstLine="3"/>
        <w:spacing w:after="0" w:line="267" w:lineRule="auto"/>
        <w:tabs>
          <w:tab w:leader="none" w:pos="2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NASDAQ Composite Index, and (ii) the NASDAQ Biotechnology Index over the same period. Historical stockholder return is not necessarily indicative of the performance to be expected for any future periods.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Among Esperion Therapeutics, Inc., the NASDAQ Composite Index and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138430</wp:posOffset>
            </wp:positionV>
            <wp:extent cx="5612130" cy="1238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12130" cy="123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w:t>
      </w:r>
    </w:p>
    <w:p>
      <w:pPr>
        <w:spacing w:after="0" w:line="28" w:lineRule="exact"/>
        <w:rPr>
          <w:sz w:val="20"/>
          <w:szCs w:val="20"/>
          <w:color w:val="auto"/>
        </w:rPr>
      </w:pPr>
    </w:p>
    <w:p>
      <w:pPr>
        <w:ind w:left="300" w:hanging="297"/>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invested on December 31, 2019 in stock or index.</w:t>
      </w:r>
    </w:p>
    <w:p>
      <w:pPr>
        <w:spacing w:after="0" w:line="20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performance graph shall not be deemed to be incorporated by reference by means of any general statement incorporating by reference this Annual Report on Form 10-K into any filing under the Securities Act of 1933, as amended, or the Securities Act, or the Exchange Act, except to the extent that we specifically incorporate such information by reference, and shall not otherwise be deemed filed under such 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2"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information required by Item 5 of Form 10-K regarding equity compensation plans is incorporated herein by reference to Item 11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Securities Sold Within Last 3 Years</w:t>
      </w:r>
    </w:p>
    <w:p>
      <w:pPr>
        <w:spacing w:after="0" w:line="20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December 12, 2024, we entered into privately negotiated exchange and subscription agreements with certain holders of our 4.00% Convertible Senior Subordinated Notes due 2025, or the 2025 Notes, pursuant to which we agreed to issue $100.0 million aggregate principal amount of its 5.75% Convertible Senior Subordinated Notes due 2030, or the 2030 Notes, consisting of (a) approximately $57.5 million principal amount of 2030 Notes, along with approximately $153.4 million in cash, including accrued interest, issued in exchange for approximately $210.1 million principal amount of 2025 Notes, or the Exchange Transaction, and</w:t>
      </w:r>
    </w:p>
    <w:p>
      <w:pPr>
        <w:spacing w:after="0" w:line="2" w:lineRule="exact"/>
        <w:rPr>
          <w:sz w:val="20"/>
          <w:szCs w:val="20"/>
          <w:color w:val="auto"/>
        </w:rPr>
      </w:pPr>
    </w:p>
    <w:p>
      <w:pPr>
        <w:ind w:right="480" w:firstLine="3"/>
        <w:spacing w:after="0" w:line="250" w:lineRule="auto"/>
        <w:tabs>
          <w:tab w:leader="none" w:pos="24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$42.5 million principal amount of 2030 Notes for cash, or the Subscription Transactions, and together with the Exchange Transaction, the Transaction, in each case, pursuant to exemptions from registration under the Securities Act and the rules and regulations thereunder.</w:t>
      </w:r>
    </w:p>
    <w:p>
      <w:pPr>
        <w:spacing w:after="0" w:line="20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initial conversion rate for the 2030 Notes will be 326.7974 shares of our common stock per $1,000 principal amount of 2030 Notes, which is equivalent to an initial conversion price of approximately $3.06 per share of our common stock, subject to adjustment upon the occurrence of certain specified events, but in no event will the conversion rate per $1,000 principal amount of notes exceed 392.1568 shares of our common stock, subject to adjustment.</w:t>
      </w:r>
    </w:p>
    <w:p>
      <w:pPr>
        <w:spacing w:after="0" w:line="19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Following the closing of the Exchange Transaction, approximately $54.9 million in aggregate principal amount of 2025 Notes will remain outstanding with terms unchanged. The Transactions closed on December 17, 2024, and together with the Credit Agreement, signed on December 13, 2024, resulted in approximately $26.5 million of net cash and cash equivalents to the balance sheets, after excluding fees and expenses payable by us in connection with both the Exchange Transaction and Credit Agreement. Refer to Note 12 in our audited financial statements appearing elsewhere in this Annual Report on Form 10-K for further information.</w:t>
      </w:r>
    </w:p>
    <w:p>
      <w:pPr>
        <w:spacing w:after="0" w:line="19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2030 Notes were offered in a private placement in reliance on Section 4(a)(2) of the Securities Act to the initial purchasers for initial resale to persons reasonably believed to be qualified institutional buyers or accredited investors within the meaning of Rule 501 of Regulation D. The issuance of common stock upon conversion, if any, is expected to be exempt from registration pursuant to Section 3(a)(9) of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0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7"/>
          <w:szCs w:val="17"/>
          <w:color w:val="auto"/>
        </w:rPr>
        <w:t>The Company has not made any repurchases of shares or other units of any class of the Company’s equity securities during the fourth quarter of the fiscal year covered by this Annual Report on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related notes appearing elsewhere in this Annual Report on Form 10-K. For a comparison of our results of operations for the fiscal years ended December 31, 2023 and December 31, 2022, see "Part II, Item 7. Management's Discussion and Analysis of Financial Condition and Results of Operations" of our Annual Report on Form 10-K for the fiscal year ended December 31, 2023, filed with the SEC on February 27, 2024.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Overview</w:t>
      </w:r>
    </w:p>
    <w:p>
      <w:pPr>
        <w:spacing w:after="0" w:line="21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We are a commercial stage biopharmaceutical company currently focused on bringing new medicines to patients that address unmet medical needs. We have developed and are commercializing U.S. Food and Drug Administration, or FDA, approved oral, once-daily, non-statin medicines for patients who are at risk for cardiovascular disease, or CVD, and are struggling with elevated low-density lipoprotein cholesterol, or LDL-C. Through commercial execution, international partnerships and collaborations, and advancement of our pre-clinical pipeline, we continue to evolve into a leading global biopharmaceutical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CVD, or at high risk for a CVD event but without established CVD, and to reduce LDL-C in adults with primary hyperlipidemia. Our products were approved by the FDA, the European Commission, or EC, and Swiss Agency for Therapeutic Products, or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or Otsuka, our Japanese collaborator, announced that the primary endpoint of LDL-C reduction from baseline at Week 12 was achieved with statistical significance in the Phase 3 clinical trial in Japan for bempedoic acid as a treatment for hypercholesterolemia. Otsuka filed a New Drug Application, or NDA, in Japan in November 2024, with expected approval and National Health Insurance, or NHI, pricing in the second half of 2025. We filed supplemental NDAs for product approvals in Canada in November 2024 and our collaboration partners plan to file in Australia and Israel in the first half of 2025.</w:t>
      </w:r>
    </w:p>
    <w:p>
      <w:pPr>
        <w:spacing w:after="0" w:line="19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 xml:space="preserve">We completed a global cardiovascular outcomes trial, or CVOT, —known as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color w:val="auto"/>
        </w:rPr>
        <w:t xml:space="preserve">holesterol </w:t>
      </w:r>
      <w:r>
        <w:rPr>
          <w:rFonts w:ascii="Times New Roman" w:cs="Times New Roman" w:eastAsia="Times New Roman" w:hAnsi="Times New Roman"/>
          <w:sz w:val="17"/>
          <w:szCs w:val="17"/>
          <w:b w:val="1"/>
          <w:bCs w:val="1"/>
          <w:u w:val="single" w:color="auto"/>
          <w:color w:val="auto"/>
        </w:rPr>
        <w:t>L</w:t>
      </w:r>
      <w:r>
        <w:rPr>
          <w:rFonts w:ascii="Times New Roman" w:cs="Times New Roman" w:eastAsia="Times New Roman" w:hAnsi="Times New Roman"/>
          <w:sz w:val="17"/>
          <w:szCs w:val="17"/>
          <w:color w:val="auto"/>
        </w:rPr>
        <w:t>owering via B</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 xml:space="preserve">mpedoic Acid, an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7"/>
          <w:szCs w:val="17"/>
          <w:color w:val="auto"/>
        </w:rPr>
        <w:t xml:space="preserve">CL-inhibiting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egimen (CLEAR) Outcomes. The trial was designed to evaluate whether treatment with bempedoic acid reduced the risk of cardiovascular events in adult patients who are statin averse and who have CVD or are at high risk for CVD. 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to demonstrate the ability to lower hard ischemic events, not only in those with atherosclerotic cardiovascular disease, or ASCVD, but also in the large number of primary prevention patients for whom limited therapies exist.</w:t>
      </w:r>
    </w:p>
    <w:p>
      <w:pPr>
        <w:spacing w:after="0" w:line="204"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7"/>
          <w:szCs w:val="17"/>
          <w:color w:val="auto"/>
        </w:rPr>
        <w:t>On March 22, 2024, we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w:t>
      </w:r>
    </w:p>
    <w:p>
      <w:pPr>
        <w:spacing w:after="0" w:line="19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On May 22, 2024, we announced that the EC approved the label update of both NILEMDO and NUSTENDI as treatments for hypercholesterolemia and to reduce the risk of adverse cardiovascular events. The EC’s decisions to update the labels of</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ASCVD.</w:t>
      </w:r>
    </w:p>
    <w:p>
      <w:pPr>
        <w:spacing w:after="0" w:line="19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7"/>
          <w:szCs w:val="17"/>
          <w:color w:val="auto"/>
        </w:rPr>
        <w:t>On June 27, 2024, we entered into a Royalty Purchase Agreement, or the Purchase Agreement, with OCM IP Healthcare Portfolio LP, or OMERS, a limited partnership formed under the laws of the Province of Ontario, Canada, or the Purchaser. Pursuant to the Purchase Agreement, we sold to the Purchaser, and the Purchaser purchased for approximately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or DSE, and the Company, as amended, or the License and Collaboration Agreement and such royalties being the Royalty Interests).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approximately $517.9 million). Following receipt of such amount, 100% of all Royalty Interests will revert to us. The Purchase Agreement contains other customary terms and conditions, including representations and warranties, covenants and indemnification obligations in favor of each party.</w:t>
      </w:r>
    </w:p>
    <w:p>
      <w:pPr>
        <w:spacing w:after="0" w:line="191"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17"/>
          <w:szCs w:val="17"/>
          <w:color w:val="auto"/>
        </w:rPr>
        <w:t>On June 27, 2024, we repurchased Revenue Interests outstanding under the Revenue Interest Purchase Agreement, or the RIPA, dated effective as of June 26, 2019, as amended, by and among the Company, the purchasers party thereto, or the Purchasers, and Eiger III SA LLC, or Oberland, as the collateral agent and administrative agent, or the Purchaser Agent, and satisfied all other Obligations (as defined in the RIPA) owed to the Purchasers and the Purchaser Agent by</w:t>
      </w:r>
    </w:p>
    <w:p>
      <w:pPr>
        <w:spacing w:after="0" w:line="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7"/>
          <w:szCs w:val="17"/>
          <w:color w:val="auto"/>
        </w:rPr>
        <w:t>paying to the Purchaser Agent, for the benefit of the Purchasers, a payment in cash of approximately $343.8 million, or 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19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7"/>
          <w:szCs w:val="17"/>
          <w:color w:val="auto"/>
        </w:rPr>
        <w:t>On December 13, 2024, we entered into a credit agreement, or Credit Agreement, with GLAS USA LLC, as administrative agent, and Athyrium Opportunities IV Co-Invest 1 LP, HCR Stafford Fund II, L.P., HCR Potomac Fund II, L.P. and HCRX Investments HoldCo, L.P. The Credit Agreement provides for a $150.0 million term loan, or the Loan, which was borrowed in full at closing. Proceeds from the Loan were used repay a portion of the outstanding obligations under our existing $265 million aggregate principal amount 4.00% Convertible Senior Subordinated Notes due November 2025, or the 2025 Notes, and to pay fees and expenses in connection with the Credit Agreement.</w:t>
      </w:r>
    </w:p>
    <w:p>
      <w:pPr>
        <w:spacing w:after="0" w:line="20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7"/>
          <w:szCs w:val="17"/>
          <w:color w:val="auto"/>
        </w:rPr>
        <w:t>On December 17, 2024, we entered into privately negotiated exchange and subscription agreements, or the Agreements, with certain holders of our outstanding 2025 Notes. Pursuant to the Agreements, we issued $100.0 million aggregate principal amount of 5.75% Convertible Senior Subordinated Notes due 2030, or the 2030 Notes, consisting of (a) approximately $57.5 million principal amount of 2030 Notes, along with approximately $153.4 million in cash, including accrued interest, issued in exchange for approximately $210.1 million principal amount of the 2025 Notes, or the Exchange Transaction, and (b) approximately $42.5 million principal amount of 2030 Notes for cash.</w:t>
      </w:r>
    </w:p>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 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revenue interest and royalty purchase agreements. We have incurred losses in each year since our inception.</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have never been profitable and our net losses were $51.7 million, $209.2 million and 233.7 million for the years ended December 31, 2024, 2023, and 2022 respectively. Our net loss for the year ended December 31, 2024 was primarily due to the loss on extinguishment on the Oberland RIPA and convertible notes Exchange Transaction, interest expense and costs incurred in connection with research and development programs and selling, general and administrative costs associated with our operations, offset partially by the Settlement Agreement with DSE and other revenue from our net product sales and collaboration agreements. Substantially all of our net losses for the years ended December 31, 2023 and 2022 resulted from costs incurred in connection with research and development programs and selling, general and administrative costs associated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with our operations. We expect to incur significant expenses and operating losses for the near term future in connection with our ongoing activities, including, among others:</w:t>
      </w:r>
    </w:p>
    <w:p>
      <w:pPr>
        <w:spacing w:after="0" w:line="151"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commercializing NEXLETOL and NEXLIZET in the U.S;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other research and development activities.</w:t>
      </w:r>
    </w:p>
    <w:p>
      <w:pPr>
        <w:spacing w:after="0" w:line="2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Overview</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NEXLETOL is a first-in-class ATP Citrate Lyase, or ACLY,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CVD demonstrated on average a 20.0% placebo corrected LDL-C lowering, and a resulting 13% lower risk of major cardiovascular events versus placebo. NEXLETOL was approved by the FDA in February 2020 and received an expanded cardiovascular risk reduction indication from the FDA in March 2024.</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received an expanded cardiovascular risk reduction indication from the FDA in March 2024.</w:t>
      </w:r>
    </w:p>
    <w:p>
      <w:pPr>
        <w:spacing w:after="0" w:line="17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NILEMDO is a first-in-class ACLY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 In May 2024, the EC approved an expanded indication for NILEMDO to reduce cardiovascular risk in patients with or at high risk for ASCVD.</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 In May 2024, the EC approved an expanded indication for NUSTENDI to reduce cardiovascular risk in patients with or at high risk for ASCVD.</w:t>
      </w:r>
    </w:p>
    <w:p>
      <w:pPr>
        <w:spacing w:after="0" w:line="177"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2024, we incurred $6.6 million related to ongoing clinical studies. During the years ended December 31, 2023 and December 31, 2022, we incurred $46.2 million and $83.5 million, respectively, in direct expenses related to our CLEAR Outcomes CVOT and other ongoing clinical studies.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Product sales, net is related to our sales of NEXLETOL and NEXLIZET. NEXLETOL and NEXLIZET were commercially available in the U.S. on March 30, 2020 and June 4, 2020,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Collaboration revenue is related to our collaboration agreements with Daiichi Sankyo and Otsuka. Collaboration revenue in the year ended December 31, 2024 was primarily related to the settlement agreement, or Settlement Agreement, with Daiichi Sankyo Europe GmbH, or DSE, a milestone from Otsuka upon first Japanese New Drug Application, or JNDA, submission in the Otsuka Territory, sales of bulk tablets under supply agreements and royalty revenue received from collaboration partners. Collaboration revenue in the years ended December 31, 2023 and 2022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 Refer to Note 1 and 3 in our audited financial statements appearing elsewhere in this Annual Report on Form 10-K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goods sold is related to our net product sales of NEXLETOL and NEXLIZET and our supply agreements with collaboration partners.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Our research and development expenses consist primarily of costs incurred in connection with the development of bempedoic acid and the bempedoic acid / ezetimibe combination tablet and any other product candidate we may choose to pursue, which include:</w:t>
      </w:r>
    </w:p>
    <w:p>
      <w:pPr>
        <w:spacing w:after="0" w:line="151" w:lineRule="exact"/>
        <w:rPr>
          <w:sz w:val="20"/>
          <w:szCs w:val="20"/>
          <w:color w:val="auto"/>
        </w:rPr>
      </w:pPr>
    </w:p>
    <w:p>
      <w:pPr>
        <w:ind w:left="620" w:right="200" w:hanging="307"/>
        <w:spacing w:after="0" w:line="288"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consultants, contract research organizations, or CROs, and investigative sites that conduct our preclinical and clinical studies;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benefits, stock-based compensation and travel expenses;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expenses for rent and maintenance of facilities, insurance and other supplies;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w:t>
      </w:r>
    </w:p>
    <w:p>
      <w:pPr>
        <w:spacing w:after="0" w:line="24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expense research and development costs as incurred. To date, substantially all of our research and development work has been related to bempedoic acid and the bempedoic acid / ezetimibe combination tablet and our early stage pipeline assets.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increase in 2025 as we begin our phase III pediatric trial and continue progressing our preclinical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pipeline. We cannot determine with certainty the duration and completion costs associated with the ongoing or future clinical studies of bempedoic acid and the bempedoic acid / ezetimibe combination tablet or any other product candidate we may choose to pursue.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our business, including costs associated with the commercialization of NEXLETOL and NEXLIZET, selling expenses, facility-related costs, communication expenses and professional fees for legal, patent prosecution, protection and review, consulting and accounting services.</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We expect our selling, general and administrative expenses will be consistent in 2025 as it was in 2024 after the additional global regulatory approvals for new product indications in 2024 and the associated expanded commercialization initiatives for NEXLETOL and NEXLIZET and increases in our associated headcount to expand our sales team.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Interest expense for the year ended December 31, 2024 was related to our Royalty Purchase Agreement with OMERS, entered into on June 27, 2024, our RIPA with Oberland, our Loan, entered into on December, 13, 2024, and our convertible notes. Interest expense for the years ended December 31, 2023 and December 31, 2022 was related to our RIPA and our convertible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extinguishment of debt and exchange transaction</w:t>
      </w:r>
    </w:p>
    <w:p>
      <w:pPr>
        <w:spacing w:after="0" w:line="224"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Loss on extinguishment of debt and exchange transaction is related to the loss recognized from the termination of our RIPA with Oberland and the Exchange Transaction of our Convertible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Other income, net, for the years ended December 31, 2024, December 31, 2023 and December 31, 2022 primarily relates to interest income and the accretion or amortization of premiums and discounts earned on our cash, cash equivalents and investment securities and also includes other income related to the sale of leased vehicles.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net product sales and royalty purchase agreement.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Our significant accounting policies are described in more detail in Note 2 to our audited financial statements appearing elsewhere in this Annual Report on Form 10-K. We believe the following accounting policies to be most critical to understanding our results and financial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sell NEXLETOL and NEXLIZET to wholesalers in the U.S. and, in accordance with ASC 606, recognize revenue at the point in time when the customer is deemed to have obtained control of the product, which generally occurs upon receipt by the customer. Product sales are recorded at the net selling price, which includes variable considerations for rebates, chargebacks, co-pay assistance programs, distribution related fees, product returns, and other sales-related discounts and fees. Calculating these net product sales involves judgments and estimates. Our estimates give consideration for a range of possible outcomes which are probability-weighted for relevant factors such as contracts with customers, healthcare providers, payors and government agencies, statutorily-defined discounts applicable to government-funded programs, forecasted payor mix, customer buying and payment patterns, and other relevant factors. The reserves reflect our best estimates of the amount of consideration to which we are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our commercial operations we have provided constraint of our variable consideration due to its potential consumption trends. Actual amounts of consideration ultimately received may differ from our estimates. Each period, we review our estimates of rebates, co-pay assistance programs, distribution fees and other applicable provisions. If actual results vary from estimates, we adjust these estimates, which would affect net product revenue and earnings in the period such variances become known. A 3% change to our year ended December 31, 2024 net product sales would have an impact of approximately $3.5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the Sale of Future Royalties</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 xml:space="preserve">In June 2024, we entered into a royalty sale agreement with OMERS for the future royalties from our collaboration agreement with DSE for up to 1.7x the purchase price, or $518 million. We evaluated the arrangement and determined the agreement should be treated as a debt instrument according to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royalty sale liability related to the agreement is presented net of deferred issuance costs on the balance sheets. We impute interest expense associated with this liability using the effective interest rate method which is presented as interest expense on the statements of operations.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of forecasted royalty sales. This estimate is complex and highly judgmental due to the estimation uncertainty in determining the effective interest rate. We evaluate the interest rate quarterly based on our expectations of forecasted royalty sales from our license partner, historical experience, third-party forecasts and current market conditions utilizing the prospective method. The effective interest rate model includes royalty sales forecasts which are affected by expectations about future market conditions. A significant increase or decrease in royalties will materially impact the royalty sale liability, interest expense and the time period for repayment. A 3% increase in quarterly forecasted revenues would increase interest expense by approximately $0.2 million, increase the royalty sale liability by $0.2 million, and would have no change on the estimated time period for repayment. Issuance costs in connection with the royalty sale agreement are amortized to interest expense over the estimated term of the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Adopted</w:t>
      </w:r>
    </w:p>
    <w:p>
      <w:pPr>
        <w:spacing w:after="0" w:line="22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For information on new accounting standards and the impact, on our financial position or results of operations, see Note 2 to our audited financial statements found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2024 and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2024 and 2023:</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115,725</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78,335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37,390</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Collaboration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178,590</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25,334</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(39,869)</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20,550</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209,965</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 and exchange transaction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(54,918)</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157,503</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Product sales, net for the year ended December 31, 2024 was $115.7 million compared to $78.3 million for the year ended December 31, 2023, an increase of $37.4 million. The increase is primarily due to prescription growth volumes of NEXLETOL and NEXLIZET.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22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Collaboration revenue recognized from our collaboration agreements for the year ended December 31, 2024 was $216.6 million compared to $38.0 million for the year ended December 31, 2023, an increase of $178.6 million. The increase is primarily due to revenue recognized from our Settlement Agreement with DSE in the first half of 2024, a one-time milestone from Otsuka upon first JNDA submission in the Otsuka Territory, increased product sales to our collaboration partners from our supply agreements and royalty sales growth within our partner territories.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Cost of goods sold for the year ended December 31, 2024, was $68.6 million compared to $43.3 million for the year ended December 31, 2023, an increase of $25.3 million. The increase is primarily related to increased product sales to our collaboration partners under our supply agreements and increased net product sales of NEXLETOL and NEXLIZET.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2024, were $46.2 million compared to $86.1 million for the year ended December 31, 2023, a decrease of $39.9 million. The decrease in research and development expenses was primarily attributable to a decrease in costs related to CLEAR Outcomes study following the announcement and presentation of our CLEAR Outcomes study results in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for the year ended December 31, 2024, were $163.1 million compared to $142.5 million for the year ended December 31, 2023, an increase of $20.6 million. The increase in selling, general and administrative expenses was primarily attributable to increased commercial headcount, bonuses, and promotional costs associated with the launch of the expanded labels for NEXLETOL and NEXLIZET.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Interest expense for the year ended December 31, 2024, was $59.3 million, compared to $59.0 million for the year ended December 31, 2023, an increase of $0.3 million. Interest expense for the year ended December 31, 2024 was related to our revenue interest liability, or RIPA, which we repurchased on June 27, 2024, of $21.6 million, our royalty sale liability, entered into on June 27, 2024, of $24.7 million, our convertible notes, of $12.2 million, and our Credit Agreement, entered into on December 13, 2024, of $0.8 million. Interest expense for the year ended December 31, 2023, was related to our revenue interest liability of $46.7 million and convertible notes of $12.3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extinguishment of debt and exchange transaction</w:t>
      </w:r>
    </w:p>
    <w:p>
      <w:pPr>
        <w:spacing w:after="0" w:line="22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Loss on extinguishment of debt and exchange transaction for year ended December 31, 2024, was $54.9 million, with no such loss recognized for the year ended December 31, 2023. The loss on extinguishment of debt was due to the termination of our RIPA with Oberland of $53.2 million and Exchange Transaction of our convertible notes of $1.7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2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Other income, net for the year ended December 31, 2024, was $8.0 million compared to $5.3 million for the year ended December 31, 2023, an increase of $2.7 million. This increase was primarily due to higher interest income due to higher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7"/>
          <w:szCs w:val="17"/>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and royalty purchase agreements. Pursuant to the license and collaboration agreements with Daiichi Sankyo and Otsuka, we are eligible for substantial additional sales and regulatory milestone payments and royalties.</w:t>
      </w:r>
    </w:p>
    <w:p>
      <w:pPr>
        <w:spacing w:after="0" w:line="19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On February 21, 2023, we entered into a Controlled Equity Offering Sales Agreement with Cantor Fitzgerald &amp; Co., as sales agent, to provide for the issuance and sale by us of up to $70.0 million of shares of our common stock from time to time in “at-the-market” offerings, or the 2023 ATM Program, pursuant to our existing Form S-3 and the prospectus supplement filed on February 21, 2023. During the year ended December 31, 2024, we issued 378,902 shares of common stock resulting in net proceeds of approximately $0.5 million after deducting approximately $0.2 million of commissions and expense reimbursement payable to sales agent and other expenses, pursuant to the 2023 ATM Program. During 2023, we issued 3,312,908 shares of common stock resulting in net proceeds of approximately $4.4 million after deducting $0.4 million of underwriting discounts and commissions and other expenses, pursuant to the 2023 ATM Program.</w:t>
      </w:r>
    </w:p>
    <w:p>
      <w:pPr>
        <w:spacing w:after="0" w:line="2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On January 2, 2024, we entered into the Settlement Agreement with DSE to amicably resolve and dismiss the commercial dispute then pending in the Southern District of New York. Under the Settlement Agreement, DSE agreed to pay us an aggregate of $125.0 million, including (1) a $100.0 million payment within 15 business days of the effective date of the Settlement Agreement, which we received in January 2024, and (2) a $25.0 million payment in the calendar quarter immediately following the calendar quarter in which the European Medicines Agency, or EMA renders a decision on the application that was filed with the EMA for a Type II(a) variation for our oral non-statin products marketed as NILEMDO® (bempedoic acid) tablets and NUSTENDI® (bempedoic acid and ezetimibe) tablets in Europe, which we received in June 2024. The legal action pending in the United States District Court for the Southern District of New York has now been dismissed.</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January 18, 2024, we entered into the Underwriting Agreement with Jefferies, as representative of the Underwriters, related to the January 2024 Offering of 56,700,000 shares of our common stock,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January Offering closed on January 23, 2024, with proceeds to the Company of approximately $90.7 million, after deducting the underwriting discount and estimated offering expenses of $7.1 million.</w:t>
      </w:r>
    </w:p>
    <w:p>
      <w:pPr>
        <w:spacing w:after="0" w:line="19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As part of our December 2024 Credit Agreement and Exchange Transaction for our 2025 and 2030 Notes, as described in more detail below, the Company added approximately $26.5 million of net cash and cash equivalents to the balance sheets after payments of original issue discount, issuance costs and accrued interest on the partial extinguishment of the 2025 Notes.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that we will incur operating losses for the near term future as we continue to incur substantial expenses related to the ongoing commercialization of</w:t>
      </w:r>
    </w:p>
    <w:p>
      <w:pPr>
        <w:spacing w:after="0" w:line="5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NEXLETOL and NEXLIZET and expenses associated with our research and development activities. We anticipate that our current cash and cash equivalents, expected future net product sales of NEXLETOL and NEXLIZET, and expected future revenue under our collaboration agreements is sufficient to fund continuing operations for the near term future.</w:t>
      </w:r>
    </w:p>
    <w:p>
      <w:pPr>
        <w:spacing w:after="0" w:line="193"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As of December 31, 2024, our primary sources of liquidity were our cash and cash equivalents which totaled $144.8 million. We invest our cash equivalents and investments in highly liquid, interest-bearing investment-grade securities and government securities to preserve principal.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primary sources and uses of cash for the periods presented below:</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spacing w:after="0"/>
              <w:rPr>
                <w:sz w:val="16"/>
                <w:szCs w:val="16"/>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(135,487)</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42,500</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86,484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50,460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62,513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(42,527)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4"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7"/>
          <w:szCs w:val="17"/>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 and our early stage pipeline assets.</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Net cash used in operating activities totaled $23.7 million for the year ended December 31, 2024 and $135.5 million for the year ended December 31, 2023. Net cash used in operating activities for the year ended December 31, 2024 consisted primarily of net product sales of NEXLETOL and NEXLIZET, the Settlement Agreement with DSE and other cash received from our collaboration agreements fully offset by cash used to fund the commercialization activities of NEXLETOL and NEXLIZET and the research and development costs related to bempedoic acid and the bempedoic acid / ezetimibe combination tablet, adjusted for non-cash expenses such as the loss extinguishment of debt associated with our RIPA and convertible note Exchange Transaction, royalty revenue paid or to be paid to OMERS, stock-based compensation expense, interest expense related to our RIPA with Oberland and royalty sale agreement, amortization of issuance costs on our convertible notes, depreciation and amortization and changes in working capital. Net cash used in operating activities for the year ended December 31, 2023 consisted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and the amortization of issuance costs on our convertible notes, depreciation and amortization and changes in working capital.</w:t>
      </w:r>
    </w:p>
    <w:p>
      <w:pPr>
        <w:spacing w:after="0" w:line="17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decrease in cash used in operating activities for the year ended December 31, 2024 compared to the year ended December 31, 2023 was primarily related to a decrease in net loss resulting from increases in net product sales and collaboration revenue, primarily related to our Settlement Agreement with DSE and lower research and development costs following the public presentation of our CLEAR Outcomes CVOT in 2023, partially offset by increases in selling, general, and administrative expenses due to increased commercial headcount and promotional expenses with the launch of the expanded labels in NEXLETOL and NEXLIZET, increases in inventory, and increases in cost of goods sold related to additional sales, adjusted for normal working capital and timing of cash outlays.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of $0.3 million for the year ended December 31, 2024 consisted of purchases of property and equipment. Net cash provided by investing activities of $42.5 million for the year ended December 31, 2023 consisted primarily of net proceeds from the sales of highly liquid, interest bearing investment grade and government securities.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Net cash provided by financing activities of $86.5 million for the year ended December 31, 2024, related primarily to proceeds from our January 2024 Offering, royalty sale agreement, the Loan and issuance of convertible notes and warrant exercises, offset partially by the cash outlays resulting in the extinguishment of our RIPA and Exchange Transaction of convertible notes. Net cash provided by financing activities of $50.5 million for the year ended December 31, 2023, related primarily to proceeds from our registered direct offering, or Registered Direct Offering, exercise of warrants, and net proceeds from our 2023 ATM Program, partially offset by payments on our RIPA with Oberland.</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On June 27, 2024, we entered into a Royalty Purchase Agreement (the “Purchase Agreement”) with OMERS. Pursuant to the Purchase Agreement, we sold a portion of the royalties payable on net sales of Bempedoic Acid from our collaboration partner DSE. Pursuant to the Purchase Agreement, we received $304.7 million, less issuance costs. OMERS acquired 100% of the Royalty Interests until such time as they have received an aggregate amount equal to 1.7x of the Purchase Price (equivalent to approximately $517.9 million). Following receipt of such amount, 100% of all Royalty Interests will revert to the Company. Through December 31, 2024, the royalties recognized and settled to the Purchaser was $26.1 million The Company expects future royalties to OMERS may range from $47.6 million in the next year to a maximum total payment of approximately $444.2 million beyond one year. A significant increase or decrease in future royalties will materially impact the royalty sale liability, interest expense and the time period for repayment. Refer to Note 11 to our audited financial statements appearing elsewhere in this Annual Report on Form 10-K for further information.</w:t>
      </w:r>
    </w:p>
    <w:p>
      <w:pPr>
        <w:spacing w:after="0" w:line="179"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On June 27, 2024, we repurchased the Revenue Interests outstanding under the RIPA for $343.8 million and recognized a loss on extinguishment of debt in the statements of operations of $53.2 million. Following the repurchase in June 2024, we no longer owe payments under the RIPA. Refer to Note 10 to our audited financial statements appearing elsewhere in this Annual Report on Form 10-K for further information.</w:t>
      </w:r>
    </w:p>
    <w:p>
      <w:pPr>
        <w:spacing w:after="0" w:line="18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On December 17, 2024, we entered into an Exchange Agreement where we repaid $210.1 million aggregate principal amount of our $265.0 million 2025 Notes and associated accrued interest. Future payments under the 4.00% 2025 Notes include annual interest of $2.2 million and a principal payment of $54.9 million due in November 2025</w:t>
      </w:r>
      <w:r>
        <w:rPr>
          <w:rFonts w:ascii="Calibri" w:cs="Calibri" w:eastAsia="Calibri" w:hAnsi="Calibri"/>
          <w:sz w:val="17"/>
          <w:szCs w:val="17"/>
          <w:i w:val="1"/>
          <w:iCs w:val="1"/>
          <w:color w:val="auto"/>
        </w:rPr>
        <w:t>.</w:t>
      </w:r>
      <w:r>
        <w:rPr>
          <w:rFonts w:ascii="Times New Roman" w:cs="Times New Roman" w:eastAsia="Times New Roman" w:hAnsi="Times New Roman"/>
          <w:sz w:val="17"/>
          <w:szCs w:val="17"/>
          <w:color w:val="auto"/>
        </w:rPr>
        <w:t xml:space="preserve"> Refer to Note 12 to our audited financial statements appearing elsewhere in this Annual Report on Form 10-K.</w:t>
      </w:r>
    </w:p>
    <w:p>
      <w:pPr>
        <w:spacing w:after="0" w:line="21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On December 17, 2024, we issued $100.0 million aggregate principal amount of 5.75% convertible senior subordinated notes due 2030 to certain financial institutions as the initial purchasers of the convertible notes, or 2030 Notes. Future payments under the 2030 Notes include annual interest of approximately $5.8 million and a principal payment of $100.0 million in 2030</w:t>
      </w:r>
      <w:r>
        <w:rPr>
          <w:rFonts w:ascii="Calibri" w:cs="Calibri" w:eastAsia="Calibri" w:hAnsi="Calibri"/>
          <w:sz w:val="17"/>
          <w:szCs w:val="17"/>
          <w:i w:val="1"/>
          <w:iCs w:val="1"/>
          <w:color w:val="auto"/>
        </w:rPr>
        <w:t>.</w:t>
      </w:r>
      <w:r>
        <w:rPr>
          <w:rFonts w:ascii="Times New Roman" w:cs="Times New Roman" w:eastAsia="Times New Roman" w:hAnsi="Times New Roman"/>
          <w:sz w:val="17"/>
          <w:szCs w:val="17"/>
          <w:color w:val="auto"/>
        </w:rPr>
        <w:t xml:space="preserve"> Refer to Note 12 to our audited financial statements appearing elsewhere in this Annual Report on Form 10-K.</w:t>
      </w:r>
    </w:p>
    <w:p>
      <w:pPr>
        <w:spacing w:after="0" w:line="18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7"/>
          <w:szCs w:val="17"/>
          <w:color w:val="auto"/>
        </w:rPr>
        <w:t>On December 13, 2024, we entered into a Credit Agreement for a $150.0 million Loan, which was borrowed in full at closing. Proceeds from the Loan were used repay a portion of the outstanding obligations under our 2025 Notes, and to pay an original issue discount of $3.8 million and fees and expenses in connection with the Credit Agreement of $5.4 million. The Loan will bear interest at an annual rate of 9.75% if paid in cash, and 11.75% if paid-in-kind. At the Company’s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 with the outstanding balance to be repaid on the maturity date of December 13, 2029. Future payments under the Loan are expected to be annual interest of $14.6 million ($15.4 million in 2025 with the additional portion related to the fourth quarter of 2024), $18.8 million in principal in the year ended December 31, 2028, and the remaining approximately $131.2 million in principal in the year ended December 31, 2029.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15, 2022, we filed a new registration statement on Form S-3, which registered the offering, issuance and sale of up to $239 million of common stock from time to time in “at-the-market” offerings, or the 2022 ATM Program. On February 21, 2023, we terminated the Open Market Sales Agreement with Jefferies LLC and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the year ended December 31, 2024, we issued 378,902 shares of common stock resulting in net proceeds of approximately $0.5 million after deducting approximately $0.2 million of commissions and expense reimbursement payable to sales agent and other expenses, pursuant to the 2023 ATM Program. During the year ended December 31, 2023, we issued 3,312,908 shares of common stock resulting in net proceeds of approximately $4.4 million after deducting $0.4 million of underwriting discounts and commissions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22, 2023, we issued and sold, in the Registered Direct Offering, 12,205,000 shares of our common stock, pre-funded warrants to purchase up to 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of 20,965,747 shares of our common stock, and warrants to purchase up to 33,170,747 shares of our common stock. The combined purchase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share of common stock and accompanying warrant was $1.675 per share. The purchase price of each pre-funded warrant and the accompanying warrant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$1.674 (equal to the combined purchase price per share of common stock and accompanying warrant, minus $0.001). In connection with the Registered Direct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we amended certain existing warrants to purchase up to an aggregate of 9,024,212 shares of our common stock that were previously issued in December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at an exercise price of $9.00 per share and had an expiration date of December 7, 2023, such that the amended warrants have a reduced exercise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$1.55 per share. The warrants are immediately exercisable and will expire on September 22, 2026, which may provide us with additional funding, if such warrants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exercised by their holders. Each pre-funded warrant is exercisable for one share of our common stock at an exercise price of $0.001 per share. The pre-funded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were immediately exercisable and could be exercised at any time. As of December 31, 2024, no pre-funded warrants were outstanding. During the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December 31, 2024, we received net proceeds of approximately $14.8 million from the exercise of warrants. During the year ended December 31, 2023, we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received net proceeds of approximately $8.4 million from the exercise of warrants and pre-funded warrants. During the year ended December 31, 2023, we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received net proceeds of approximately $51.3 million related to the Registered Direct Offering after deducting placement agent fees and related offering expenses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$4.2 million, and we received approximately $1.1 million in connection with the amended warrants after deducting placement fees of $0.1 million. Refer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13 to our audited financial statements appearing elsewhere in this Annual Report on Form 10-K for further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of Operations and Funding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continue to incur expenses and operating losses for the near term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16"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commercialize NEXLETOL and NEXLIZET or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and payment of potential debt maturities;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any future collaboration or commercialization arrangements on favorable terms, if at all;</w:t>
      </w:r>
    </w:p>
    <w:p>
      <w:pPr>
        <w:spacing w:after="0" w:line="205" w:lineRule="exact"/>
        <w:rPr>
          <w:rFonts w:ascii="Times New Roman" w:cs="Times New Roman" w:eastAsia="Times New Roman" w:hAnsi="Times New Roman"/>
          <w:sz w:val="17"/>
          <w:szCs w:val="17"/>
          <w:color w:val="auto"/>
        </w:rPr>
      </w:pPr>
    </w:p>
    <w:p>
      <w:pPr>
        <w:ind w:left="620" w:right="320" w:hanging="307"/>
        <w:spacing w:after="0" w:line="272"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our existing and future collaboration and partnerships, including receiving potential milestone payments from collaboration partners;</w:t>
      </w:r>
    </w:p>
    <w:p>
      <w:pPr>
        <w:spacing w:after="0" w:line="190"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and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operational and financial information technology.</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Until such time, if ever, as we can generate substantial U.S. product revenues, we expect to finance our cash needs through a combination of collaborations with third parties, strategic alliances, licensing arrangements, debt financings,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we may have to relinquish valuable rights to our technologies, future revenue streams or grant licenses on terms that may not be favorable to us. If we raise funds by selling additional equity, such sale would result in dilution to our stockholders. If we are unable to raise additional funds through equity or permitted debt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67"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We do not currently have, nor did we have during the periods presented, any off-balance sheet arrangements as defined by Securities and Exchange Commission rules, or the SEC,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had cash and cash equivalents of approximately $144.8 million at December 31, 2024. The primary objectives of our investment activities are to preserve principal, provide liquidity and maximize income without significantly increasing risk. Our primary exposure to market risk relates to fluctuations in interest rates which are affected by changes in the general level of U.S. interest rates. Given the short-term nature of our cash equivalents, we believe that a sudden change in market interest rates would not be expected to have a material impact on our financial condition and/or results of operations. We do not have any foreign currency or other derivative financial instruments.</w:t>
      </w:r>
    </w:p>
    <w:p>
      <w:pPr>
        <w:spacing w:after="0" w:line="17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We maintain significant amounts of cash and cash equivalents at one or more financial institutions that are in excess of federally insured limits. We do not believe that our cash and cash equivalents have significant risk of default or illiquidity.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contract with CROs and investigational sites globally. We are therefore subject to fluctuations in foreign currency rates in connection with these agreements.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hedge our foreign currency exchange rate risk.</w:t>
      </w:r>
    </w:p>
    <w:p>
      <w:pPr>
        <w:spacing w:after="0" w:line="201"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clinical study costs. We do not believe that inflation has had a material effect on our results of operations during the year ended December 31, 2024.</w:t>
      </w:r>
    </w:p>
    <w:p>
      <w:pPr>
        <w:spacing w:after="0" w:line="1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Our outstanding warrants currently have an exercise price of $1.55 per share and holders of such warrants may not exercise if the market price of our common stock is below $1.55. As a result, we may be unable to obtain potential proceeds from the exercise of these warrants if the market price of our common stock does not exceed $1.55 per share.</w:t>
      </w:r>
    </w:p>
    <w:p>
      <w:pPr>
        <w:spacing w:after="0" w:line="20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Our 2025 Notes, which were issued in November 2020, carry a fixed interest rate of 4.0% per year. Our 2030 Notes, which were issued in December 2024, carry a fixed rate of 5.75%. Our Loan, which was issued in December 2025, carries a fixed interest rate of 9.75%. Since both convertible notes and the Loan bear interest at a fixed rate, we have no direct financial statement risk associated with changes in interest rates. We do not believe a change in interest rate has had a material effect on our results of operations during the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statements required to be filed pursuant to this Item 8 are appended to this report. An index of those financial statements is found in Item 15.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3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10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As of December 31, 2024,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financial officer have concluded based upon the evaluation described above that, as of December 31, 2024, our disclosure controls and procedures were effective at the reasonable assurance level.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officer and principal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7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assessed the effectiveness of our internal control over financial reporting as of December 31, 2024, based on criteria for effective internal control over financial reporting established in Internal Control — Integrated Framework (2013), issued by the Committee of Sponsoring Organizations of the Treadway Commission (COSO). Based on its assessment, management concluded that our internal control over financial reporting was effective as of December 31, 2024, based on those criteria.</w:t>
      </w:r>
    </w:p>
    <w:p>
      <w:pPr>
        <w:spacing w:after="0" w:line="93"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2024, has been audited by Ernst &amp; Young LLP, an independent registered public accounting firm, as stated in their report which is included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5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There were no changes to our internal control over financial reporting that occurred during the three months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the Board of Directors of Esperion Therapeutics,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Esperion Therapeutics, Inc.’s internal control over financial reporting as of December 31, 2024, based on criteria established in Internal Control —Integrated Framework issued by the Committee of Sponsoring Organizations of the Treadway Commission (2013 framework) (the COSO criteria). In our opinion, Esperion Therapeutics, Inc. (the Company) maintained, in all material respects, effective internal control over financial reporting as of December 31, 2024, based on the COSO criteria.</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balance sheets of the Company as of December 31, 2024 and 2023, the related statements of operations and comprehensive loss, stockholders’ deficit and cash flows for each of the three years in the period ended December 31, 2024, and the related notes and our report dated March 7, 2025,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Detroit, Michigan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Plans</w:t>
      </w:r>
    </w:p>
    <w:p>
      <w:pPr>
        <w:spacing w:after="0" w:line="2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During the three months ended December 31, 2024, none of our directors or officers (as defined in Rule 16a-1 under the Exchange Act) adopted or terminated a “Rule 10b5-1 trading arrangement” or “non-Rule 10b5-1 trading arrangement” (as those terms are defined in Item 408 of Regulation S-K).</w:t>
      </w: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10 is incorporated herein by reference to the information that will be contained in our definitive proxy statement related to the 2025 Annual Meeting of Stockholders, which we intend to file with the Securities and Exchange Commission, or the SEC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11 (excluding the information under the subheading “Pay Versus Performance”) is incorporated herein by reference to the information that will be contained in our definitive proxy statement related to the 2025 Annual Meeting of Stockholders, which we intend to file with the SEC within 120 days of the end of our fiscal year pursuant to General Instruction G(3) of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12 is incorporated herein by reference to the information that will be contained in our definitive proxy statement related to the 2025 Annual Meeting of Stockholders, which we intend to file with the SEC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13 is incorporated herein by reference to the information that will be contained in our definitive proxy statement related to the 2025 Annual Meeting of Stockholders, which we intend to file with the SEC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independent public accounting firm is Ernst &amp; Young LLP, Detroit, Michigan, PCAOB Auditor ID 42.</w:t>
      </w: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14 is incorporated herein by reference to the information that will be contained in our definitive proxy statement related to the 2025 Annual Meeting of Stockholders, which we intend to file with the SEC within 120 days of the end of our fiscal year pursuant to General Instruction G(3) of Form 10-K.</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740" w:type="dxa"/>
            <w:vAlign w:val="bottom"/>
          </w:tcPr>
          <w:p>
            <w:pPr>
              <w:spacing w:after="0"/>
              <w:rPr>
                <w:sz w:val="17"/>
                <w:szCs w:val="17"/>
                <w:color w:val="auto"/>
              </w:rPr>
            </w:pPr>
          </w:p>
        </w:tc>
      </w:tr>
      <w:tr>
        <w:trPr>
          <w:trHeight w:val="962"/>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0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  The following documents are filed as part of this report:</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(1) Financial Statements:</w:t>
            </w:r>
          </w:p>
        </w:tc>
        <w:tc>
          <w:tcPr>
            <w:tcW w:w="27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Auditor ID 42)</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F-2</w:t>
            </w:r>
          </w:p>
        </w:tc>
      </w:tr>
      <w:tr>
        <w:trPr>
          <w:trHeight w:val="200"/>
        </w:trPr>
        <w:tc>
          <w:tcPr>
            <w:tcW w:w="40" w:type="dxa"/>
            <w:vAlign w:val="bottom"/>
          </w:tcPr>
          <w:p>
            <w:pPr>
              <w:spacing w:after="0"/>
              <w:rPr>
                <w:sz w:val="17"/>
                <w:szCs w:val="17"/>
                <w:color w:val="auto"/>
              </w:rPr>
            </w:pPr>
          </w:p>
        </w:tc>
        <w:tc>
          <w:tcPr>
            <w:tcW w:w="5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Balance Sheets</w:t>
            </w:r>
          </w:p>
        </w:tc>
        <w:tc>
          <w:tcPr>
            <w:tcW w:w="2640" w:type="dxa"/>
            <w:vAlign w:val="bottom"/>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F-4</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F-5</w:t>
            </w:r>
          </w:p>
        </w:tc>
      </w:tr>
      <w:tr>
        <w:trPr>
          <w:trHeight w:val="200"/>
        </w:trPr>
        <w:tc>
          <w:tcPr>
            <w:tcW w:w="40" w:type="dxa"/>
            <w:vAlign w:val="bottom"/>
          </w:tcPr>
          <w:p>
            <w:pPr>
              <w:spacing w:after="0"/>
              <w:rPr>
                <w:sz w:val="17"/>
                <w:szCs w:val="17"/>
                <w:color w:val="auto"/>
              </w:rPr>
            </w:pPr>
          </w:p>
        </w:tc>
        <w:tc>
          <w:tcPr>
            <w:tcW w:w="3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Statements of Stockholders’ Deficit</w:t>
            </w:r>
          </w:p>
        </w:tc>
        <w:tc>
          <w:tcPr>
            <w:tcW w:w="4900" w:type="dxa"/>
            <w:vAlign w:val="bottom"/>
            <w:gridSpan w:val="2"/>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F-6</w:t>
            </w:r>
          </w:p>
        </w:tc>
      </w:tr>
      <w:tr>
        <w:trPr>
          <w:trHeight w:val="200"/>
        </w:trPr>
        <w:tc>
          <w:tcPr>
            <w:tcW w:w="4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660" w:type="dxa"/>
            <w:vAlign w:val="bottom"/>
            <w:tcBorders>
              <w:top w:val="single" w:sz="8" w:color="0000FF"/>
            </w:tcBorders>
            <w:gridSpan w:val="2"/>
          </w:tcPr>
          <w:p>
            <w:pPr>
              <w:spacing w:after="0"/>
              <w:rPr>
                <w:sz w:val="17"/>
                <w:szCs w:val="17"/>
                <w:color w:val="auto"/>
              </w:rPr>
            </w:pPr>
          </w:p>
        </w:tc>
        <w:tc>
          <w:tcPr>
            <w:tcW w:w="5960" w:type="dxa"/>
            <w:vAlign w:val="bottom"/>
            <w:gridSpan w:val="3"/>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F-7</w:t>
            </w:r>
          </w:p>
        </w:tc>
      </w:tr>
      <w:tr>
        <w:trPr>
          <w:trHeight w:val="200"/>
        </w:trPr>
        <w:tc>
          <w:tcPr>
            <w:tcW w:w="40" w:type="dxa"/>
            <w:vAlign w:val="bottom"/>
          </w:tcPr>
          <w:p>
            <w:pPr>
              <w:spacing w:after="0"/>
              <w:rPr>
                <w:sz w:val="17"/>
                <w:szCs w:val="17"/>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Financial Statements</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F-8</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8"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All financial statement schedules have been omitted because they are not applicable, not required or the information required is shown in the financial statements or the notes thereto.</w:t>
      </w:r>
    </w:p>
    <w:p>
      <w:pPr>
        <w:spacing w:after="0" w:line="151" w:lineRule="exact"/>
        <w:rPr>
          <w:sz w:val="20"/>
          <w:szCs w:val="20"/>
          <w:color w:val="auto"/>
        </w:rPr>
      </w:pPr>
    </w:p>
    <w:p>
      <w:pPr>
        <w:ind w:left="320" w:right="120" w:hanging="317"/>
        <w:spacing w:after="0" w:line="288" w:lineRule="auto"/>
        <w:tabs>
          <w:tab w:leader="none" w:pos="31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filed as part of this Annual Report on Form 10-K are set forth on the Exhibit Index included herein. The Exhibit Index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46" w:lineRule="exact"/>
        <w:rPr>
          <w:sz w:val="20"/>
          <w:szCs w:val="20"/>
          <w:color w:val="auto"/>
        </w:rPr>
      </w:pPr>
    </w:p>
    <w:p>
      <w:pPr>
        <w:ind w:left="280"/>
        <w:spacing w:after="0"/>
        <w:tabs>
          <w:tab w:leader="none" w:pos="57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3"/>
          <w:szCs w:val="13"/>
          <w:b w:val="1"/>
          <w:bCs w:val="1"/>
          <w:color w:val="auto"/>
        </w:rPr>
        <w:t>Description of Exhibit</w:t>
      </w:r>
    </w:p>
    <w:p>
      <w:pPr>
        <w:spacing w:after="0" w:line="41" w:lineRule="exact"/>
        <w:rPr>
          <w:sz w:val="20"/>
          <w:szCs w:val="20"/>
          <w:color w:val="auto"/>
        </w:rPr>
      </w:pPr>
    </w:p>
    <w:p>
      <w:pPr>
        <w:ind w:left="1640" w:right="680" w:hanging="636"/>
        <w:spacing w:after="0"/>
        <w:tabs>
          <w:tab w:leader="none" w:pos="1620" w:val="left"/>
        </w:tabs>
        <w:rPr>
          <w:rFonts w:ascii="Times New Roman" w:cs="Times New Roman" w:eastAsia="Times New Roman" w:hAnsi="Times New Roman"/>
          <w:sz w:val="17"/>
          <w:szCs w:val="17"/>
          <w:u w:val="single" w:color="auto"/>
          <w:color w:val="0E32E1"/>
        </w:rPr>
      </w:pPr>
      <w:hyperlink r:id="rId112">
        <w:r>
          <w:rPr>
            <w:rFonts w:ascii="Times New Roman" w:cs="Times New Roman" w:eastAsia="Times New Roman" w:hAnsi="Times New Roman"/>
            <w:sz w:val="17"/>
            <w:szCs w:val="17"/>
            <w:u w:val="single" w:color="auto"/>
            <w:color w:val="0E32E1"/>
          </w:rPr>
          <w:t>3.1</w:t>
        </w:r>
      </w:hyperlink>
      <w:r>
        <w:rPr>
          <w:rFonts w:ascii="Times New Roman" w:cs="Times New Roman" w:eastAsia="Times New Roman" w:hAnsi="Times New Roman"/>
          <w:sz w:val="17"/>
          <w:szCs w:val="17"/>
          <w:u w:val="single" w:color="auto"/>
          <w:color w:val="0E32E1"/>
        </w:rPr>
        <w:tab/>
      </w:r>
      <w:hyperlink r:id="rId112">
        <w:r>
          <w:rPr>
            <w:rFonts w:ascii="Times New Roman" w:cs="Times New Roman" w:eastAsia="Times New Roman" w:hAnsi="Times New Roman"/>
            <w:sz w:val="17"/>
            <w:szCs w:val="17"/>
            <w:u w:val="single" w:color="auto"/>
            <w:color w:val="0E32E1"/>
          </w:rPr>
          <w:t>Amended and Restated Certificate of Incorporation of the Registrant (incorporated by reference to Exhibit 3.2 to the Registrant’s</w:t>
        </w:r>
      </w:hyperlink>
      <w:r>
        <w:rPr>
          <w:rFonts w:ascii="Times New Roman" w:cs="Times New Roman" w:eastAsia="Times New Roman" w:hAnsi="Times New Roman"/>
          <w:sz w:val="17"/>
          <w:szCs w:val="17"/>
          <w:u w:val="single" w:color="auto"/>
          <w:color w:val="0E32E1"/>
        </w:rPr>
        <w:t xml:space="preserve"> </w:t>
      </w:r>
      <w:hyperlink r:id="rId112">
        <w:r>
          <w:rPr>
            <w:rFonts w:ascii="Times New Roman" w:cs="Times New Roman" w:eastAsia="Times New Roman" w:hAnsi="Times New Roman"/>
            <w:sz w:val="17"/>
            <w:szCs w:val="17"/>
            <w:u w:val="single" w:color="auto"/>
            <w:color w:val="0E32E1"/>
          </w:rPr>
          <w:t>Amendment No. 2 to the Registration Statement on Form S-1, File No. 333-188595, filed on June 12, 2013)</w:t>
        </w:r>
      </w:hyperlink>
    </w:p>
    <w:p>
      <w:pPr>
        <w:ind w:left="1020"/>
        <w:spacing w:after="0"/>
        <w:tabs>
          <w:tab w:leader="none" w:pos="1620" w:val="left"/>
        </w:tabs>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3.2</w:t>
        </w:r>
      </w:hyperlink>
      <w:r>
        <w:rPr>
          <w:rFonts w:ascii="Times New Roman" w:cs="Times New Roman" w:eastAsia="Times New Roman" w:hAnsi="Times New Roman"/>
          <w:sz w:val="17"/>
          <w:szCs w:val="17"/>
          <w:u w:val="single" w:color="auto"/>
          <w:color w:val="0000FF"/>
        </w:rPr>
        <w:tab/>
      </w:r>
      <w:hyperlink r:id="rId113">
        <w:r>
          <w:rPr>
            <w:rFonts w:ascii="Times New Roman" w:cs="Times New Roman" w:eastAsia="Times New Roman" w:hAnsi="Times New Roman"/>
            <w:sz w:val="17"/>
            <w:szCs w:val="17"/>
            <w:u w:val="single" w:color="auto"/>
            <w:color w:val="0000FF"/>
          </w:rPr>
          <w:t>Certificate of Amendment to Amended and Restated Certificate of Incorporation of the Registrant (incorporated by reference to Exhibit</w:t>
        </w:r>
      </w:hyperlink>
    </w:p>
    <w:p>
      <w:pPr>
        <w:ind w:left="1640"/>
        <w:spacing w:after="0"/>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3.1 to the Registrant’s Current Report on Form 8-K, File No. 001-35986, filed on May 26, 2022)</w:t>
        </w:r>
      </w:hyperlink>
    </w:p>
    <w:p>
      <w:pPr>
        <w:spacing w:after="0" w:line="19" w:lineRule="exact"/>
        <w:rPr>
          <w:sz w:val="20"/>
          <w:szCs w:val="20"/>
          <w:color w:val="auto"/>
        </w:rPr>
      </w:pPr>
    </w:p>
    <w:p>
      <w:pPr>
        <w:ind w:left="1640" w:right="320" w:hanging="636"/>
        <w:spacing w:after="0"/>
        <w:tabs>
          <w:tab w:leader="none" w:pos="1620" w:val="left"/>
        </w:tabs>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3.3</w:t>
        </w:r>
      </w:hyperlink>
      <w:r>
        <w:rPr>
          <w:rFonts w:ascii="Times New Roman" w:cs="Times New Roman" w:eastAsia="Times New Roman" w:hAnsi="Times New Roman"/>
          <w:sz w:val="17"/>
          <w:szCs w:val="17"/>
          <w:u w:val="single" w:color="auto"/>
          <w:color w:val="0000FF"/>
        </w:rPr>
        <w:tab/>
      </w:r>
      <w:hyperlink r:id="rId114">
        <w:r>
          <w:rPr>
            <w:rFonts w:ascii="Times New Roman" w:cs="Times New Roman" w:eastAsia="Times New Roman" w:hAnsi="Times New Roman"/>
            <w:sz w:val="17"/>
            <w:szCs w:val="17"/>
            <w:u w:val="single" w:color="auto"/>
            <w:color w:val="0000FF"/>
          </w:rPr>
          <w:t>Certificate of Amendment No. 2 to Amended and Restated Certificate of Incorporation of the Registrant (incorporated by reference to</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Exhibit 3.1 to the Registrant’s Current Report on Form 8-K, File No. 001-35986, filed on June 15, 2023)</w:t>
        </w:r>
      </w:hyperlink>
    </w:p>
    <w:p>
      <w:pPr>
        <w:spacing w:after="0" w:line="10" w:lineRule="exact"/>
        <w:rPr>
          <w:rFonts w:ascii="Times New Roman" w:cs="Times New Roman" w:eastAsia="Times New Roman" w:hAnsi="Times New Roman"/>
          <w:sz w:val="17"/>
          <w:szCs w:val="17"/>
          <w:u w:val="single" w:color="auto"/>
          <w:color w:val="0000FF"/>
        </w:rPr>
      </w:pPr>
    </w:p>
    <w:p>
      <w:pPr>
        <w:ind w:left="1640" w:hanging="636"/>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3.4</w:t>
        </w:r>
      </w:hyperlink>
      <w:r>
        <w:rPr>
          <w:rFonts w:ascii="Times New Roman" w:cs="Times New Roman" w:eastAsia="Times New Roman" w:hAnsi="Times New Roman"/>
          <w:sz w:val="17"/>
          <w:szCs w:val="17"/>
          <w:u w:val="single" w:color="auto"/>
          <w:color w:val="0000FF"/>
        </w:rPr>
        <w:tab/>
      </w:r>
      <w:hyperlink r:id="rId115">
        <w:r>
          <w:rPr>
            <w:rFonts w:ascii="Times New Roman" w:cs="Times New Roman" w:eastAsia="Times New Roman" w:hAnsi="Times New Roman"/>
            <w:sz w:val="17"/>
            <w:szCs w:val="17"/>
            <w:u w:val="single" w:color="auto"/>
            <w:color w:val="0000FF"/>
          </w:rPr>
          <w:t>Certificate of Validation dated September 20, 2022 relating to Certificate of Amendment to the Amended and Restated Certificate of</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Incorporation of the Registrant dated May 26, 2022 (incorporated by reference to Exhibit 3.3 to the Registrant’s Quarterly Report on Form</w:t>
        </w:r>
      </w:hyperlink>
    </w:p>
    <w:p>
      <w:pPr>
        <w:ind w:left="1640"/>
        <w:spacing w:after="0"/>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10-Q, File No. 001-35986, filed on November 1, 2022)</w:t>
        </w:r>
      </w:hyperlink>
    </w:p>
    <w:p>
      <w:pPr>
        <w:spacing w:after="0" w:line="10" w:lineRule="exact"/>
        <w:rPr>
          <w:rFonts w:ascii="Times New Roman" w:cs="Times New Roman" w:eastAsia="Times New Roman" w:hAnsi="Times New Roman"/>
          <w:sz w:val="17"/>
          <w:szCs w:val="17"/>
          <w:u w:val="single" w:color="auto"/>
          <w:color w:val="0000FF"/>
        </w:rPr>
      </w:pPr>
    </w:p>
    <w:p>
      <w:pPr>
        <w:ind w:left="1640" w:right="40" w:hanging="636"/>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3.5</w:t>
        </w:r>
      </w:hyperlink>
      <w:r>
        <w:rPr>
          <w:rFonts w:ascii="Times New Roman" w:cs="Times New Roman" w:eastAsia="Times New Roman" w:hAnsi="Times New Roman"/>
          <w:sz w:val="17"/>
          <w:szCs w:val="17"/>
          <w:u w:val="single" w:color="auto"/>
          <w:color w:val="0000FF"/>
        </w:rPr>
        <w:tab/>
      </w:r>
      <w:hyperlink r:id="rId116">
        <w:r>
          <w:rPr>
            <w:rFonts w:ascii="Times New Roman" w:cs="Times New Roman" w:eastAsia="Times New Roman" w:hAnsi="Times New Roman"/>
            <w:sz w:val="17"/>
            <w:szCs w:val="17"/>
            <w:u w:val="single" w:color="auto"/>
            <w:color w:val="0000FF"/>
          </w:rPr>
          <w:t>Second Amended and Restated Bylaws of the Registrant dated April 29, 2021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Quarterly Report on Form 10-Q, File No. 001-35986, filed on May 4,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200" w:hanging="636"/>
        <w:spacing w:after="0"/>
        <w:tabs>
          <w:tab w:leader="none" w:pos="1620" w:val="left"/>
        </w:tabs>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4.1</w:t>
        </w:r>
      </w:hyperlink>
      <w:r>
        <w:rPr>
          <w:rFonts w:ascii="Times New Roman" w:cs="Times New Roman" w:eastAsia="Times New Roman" w:hAnsi="Times New Roman"/>
          <w:sz w:val="17"/>
          <w:szCs w:val="17"/>
          <w:u w:val="single" w:color="auto"/>
          <w:color w:val="0000FF"/>
        </w:rPr>
        <w:tab/>
      </w:r>
      <w:hyperlink r:id="rId117">
        <w:r>
          <w:rPr>
            <w:rFonts w:ascii="Times New Roman" w:cs="Times New Roman" w:eastAsia="Times New Roman" w:hAnsi="Times New Roman"/>
            <w:sz w:val="17"/>
            <w:szCs w:val="17"/>
            <w:u w:val="single" w:color="auto"/>
            <w:color w:val="0000FF"/>
          </w:rPr>
          <w:t>Specimen Common Stock Certificate (incorporated by reference to Exhibit 4.1 to the Registrant’s Amendment No. 2 to the Registration</w:t>
        </w:r>
      </w:hyperlink>
      <w:r>
        <w:rPr>
          <w:rFonts w:ascii="Times New Roman" w:cs="Times New Roman" w:eastAsia="Times New Roman" w:hAnsi="Times New Roman"/>
          <w:sz w:val="17"/>
          <w:szCs w:val="17"/>
          <w:u w:val="single" w:color="auto"/>
          <w:color w:val="0000FF"/>
        </w:rPr>
        <w:t xml:space="preserve"> </w:t>
      </w:r>
      <w:hyperlink r:id="rId117">
        <w:r>
          <w:rPr>
            <w:rFonts w:ascii="Times New Roman" w:cs="Times New Roman" w:eastAsia="Times New Roman" w:hAnsi="Times New Roman"/>
            <w:sz w:val="17"/>
            <w:szCs w:val="17"/>
            <w:u w:val="single" w:color="auto"/>
            <w:color w:val="0000FF"/>
          </w:rPr>
          <w:t>Statement on Form S-1, File No. 333-188595, filed on June 12,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120" w:hanging="636"/>
        <w:spacing w:after="0"/>
        <w:tabs>
          <w:tab w:leader="none" w:pos="1620" w:val="left"/>
        </w:tabs>
        <w:rPr>
          <w:rFonts w:ascii="Times New Roman" w:cs="Times New Roman" w:eastAsia="Times New Roman" w:hAnsi="Times New Roman"/>
          <w:sz w:val="17"/>
          <w:szCs w:val="17"/>
          <w:u w:val="single" w:color="auto"/>
          <w:color w:val="0000FF"/>
        </w:rPr>
      </w:pPr>
      <w:hyperlink r:id="rId118">
        <w:r>
          <w:rPr>
            <w:rFonts w:ascii="Times New Roman" w:cs="Times New Roman" w:eastAsia="Times New Roman" w:hAnsi="Times New Roman"/>
            <w:sz w:val="17"/>
            <w:szCs w:val="17"/>
            <w:u w:val="single" w:color="auto"/>
            <w:color w:val="0000FF"/>
          </w:rPr>
          <w:t>4.2</w:t>
        </w:r>
      </w:hyperlink>
      <w:r>
        <w:rPr>
          <w:rFonts w:ascii="Times New Roman" w:cs="Times New Roman" w:eastAsia="Times New Roman" w:hAnsi="Times New Roman"/>
          <w:sz w:val="17"/>
          <w:szCs w:val="17"/>
          <w:u w:val="single" w:color="auto"/>
          <w:color w:val="0000FF"/>
        </w:rPr>
        <w:tab/>
      </w:r>
      <w:hyperlink r:id="rId118">
        <w:r>
          <w:rPr>
            <w:rFonts w:ascii="Times New Roman" w:cs="Times New Roman" w:eastAsia="Times New Roman" w:hAnsi="Times New Roman"/>
            <w:sz w:val="17"/>
            <w:szCs w:val="17"/>
            <w:u w:val="single" w:color="auto"/>
            <w:color w:val="0000FF"/>
          </w:rPr>
          <w:t>Investor Rights Agreement by and between the Registrant and certain of its stockholders dated April 28, 2008 (incorporated by reference</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to Exhibit 4.4 to the Registrant’s Registration Statement on Form S-1,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160" w:hanging="636"/>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19">
        <w:r>
          <w:rPr>
            <w:rFonts w:ascii="Times New Roman" w:cs="Times New Roman" w:eastAsia="Times New Roman" w:hAnsi="Times New Roman"/>
            <w:sz w:val="17"/>
            <w:szCs w:val="17"/>
            <w:u w:val="single" w:color="auto"/>
            <w:color w:val="0000FF"/>
          </w:rPr>
          <w:t>4.3</w:t>
        </w:r>
      </w:hyperlink>
      <w:r>
        <w:rPr>
          <w:rFonts w:ascii="Times New Roman" w:cs="Times New Roman" w:eastAsia="Times New Roman" w:hAnsi="Times New Roman"/>
          <w:sz w:val="17"/>
          <w:szCs w:val="17"/>
          <w:u w:val="single" w:color="auto"/>
          <w:color w:val="0000FF"/>
        </w:rPr>
        <w:tab/>
      </w:r>
      <w:hyperlink r:id="rId119">
        <w:r>
          <w:rPr>
            <w:rFonts w:ascii="Times New Roman" w:cs="Times New Roman" w:eastAsia="Times New Roman" w:hAnsi="Times New Roman"/>
            <w:sz w:val="17"/>
            <w:szCs w:val="17"/>
            <w:u w:val="single" w:color="auto"/>
            <w:color w:val="0000FF"/>
          </w:rPr>
          <w:t>Amendment No. 1 to Investor Rights Agreement by and between the Registrant and certain of its stockholders dated April 11, 2013</w:t>
        </w:r>
      </w:hyperlink>
      <w:r>
        <w:rPr>
          <w:rFonts w:ascii="Times New Roman" w:cs="Times New Roman" w:eastAsia="Times New Roman" w:hAnsi="Times New Roman"/>
          <w:sz w:val="17"/>
          <w:szCs w:val="17"/>
          <w:u w:val="single" w:color="auto"/>
          <w:color w:val="0000FF"/>
        </w:rPr>
        <w:t xml:space="preserve"> </w:t>
      </w:r>
      <w:hyperlink r:id="rId119">
        <w:r>
          <w:rPr>
            <w:rFonts w:ascii="Times New Roman" w:cs="Times New Roman" w:eastAsia="Times New Roman" w:hAnsi="Times New Roman"/>
            <w:sz w:val="17"/>
            <w:szCs w:val="17"/>
            <w:u w:val="single" w:color="auto"/>
            <w:color w:val="0000FF"/>
          </w:rPr>
          <w:t>(incorporated by reference to Exhibit 4.5 to the Registrant’s Registration Statement on Form S-1, File No. 333-188595, filed on May 14,</w:t>
        </w:r>
      </w:hyperlink>
    </w:p>
    <w:p>
      <w:pPr>
        <w:ind w:left="1640"/>
        <w:spacing w:after="0"/>
        <w:rPr>
          <w:rFonts w:ascii="Times New Roman" w:cs="Times New Roman" w:eastAsia="Times New Roman" w:hAnsi="Times New Roman"/>
          <w:sz w:val="17"/>
          <w:szCs w:val="17"/>
          <w:u w:val="single" w:color="auto"/>
          <w:color w:val="0000FF"/>
        </w:rPr>
      </w:pPr>
      <w:hyperlink r:id="rId119">
        <w:r>
          <w:rPr>
            <w:rFonts w:ascii="Times New Roman" w:cs="Times New Roman" w:eastAsia="Times New Roman" w:hAnsi="Times New Roman"/>
            <w:sz w:val="17"/>
            <w:szCs w:val="17"/>
            <w:u w:val="single" w:color="auto"/>
            <w:color w:val="0000FF"/>
          </w:rPr>
          <w:t>2013)</w:t>
        </w:r>
      </w:hyperlink>
    </w:p>
    <w:p>
      <w:pPr>
        <w:ind w:left="1020"/>
        <w:spacing w:after="0" w:line="235" w:lineRule="auto"/>
        <w:tabs>
          <w:tab w:leader="none" w:pos="1620" w:val="left"/>
        </w:tabs>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4.4</w:t>
        </w:r>
      </w:hyperlink>
      <w:r>
        <w:rPr>
          <w:rFonts w:ascii="Times New Roman" w:cs="Times New Roman" w:eastAsia="Times New Roman" w:hAnsi="Times New Roman"/>
          <w:sz w:val="17"/>
          <w:szCs w:val="17"/>
          <w:u w:val="single" w:color="auto"/>
          <w:color w:val="0000FF"/>
        </w:rPr>
        <w:tab/>
      </w:r>
      <w:hyperlink r:id="rId120">
        <w:r>
          <w:rPr>
            <w:rFonts w:ascii="Times New Roman" w:cs="Times New Roman" w:eastAsia="Times New Roman" w:hAnsi="Times New Roman"/>
            <w:sz w:val="17"/>
            <w:szCs w:val="17"/>
            <w:u w:val="single" w:color="auto"/>
            <w:color w:val="0000FF"/>
          </w:rPr>
          <w:t>Description of Registrant's Securities (incorporated by reference to Exhibit 4.4 to Registrant's Annual Report on Form 10-K, File No. 001-</w:t>
        </w:r>
      </w:hyperlink>
    </w:p>
    <w:p>
      <w:pPr>
        <w:spacing w:after="0" w:line="1"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35986, filed on February 27, 2024)</w:t>
        </w:r>
      </w:hyperlink>
    </w:p>
    <w:p>
      <w:pPr>
        <w:spacing w:after="0" w:line="19" w:lineRule="exact"/>
        <w:rPr>
          <w:sz w:val="20"/>
          <w:szCs w:val="20"/>
          <w:color w:val="auto"/>
        </w:rPr>
      </w:pPr>
    </w:p>
    <w:p>
      <w:pPr>
        <w:ind w:left="1640" w:right="400" w:hanging="636"/>
        <w:spacing w:after="0"/>
        <w:tabs>
          <w:tab w:leader="none" w:pos="1620" w:val="left"/>
        </w:tabs>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4.5</w:t>
        </w:r>
      </w:hyperlink>
      <w:r>
        <w:rPr>
          <w:rFonts w:ascii="Times New Roman" w:cs="Times New Roman" w:eastAsia="Times New Roman" w:hAnsi="Times New Roman"/>
          <w:sz w:val="17"/>
          <w:szCs w:val="17"/>
          <w:u w:val="single" w:color="auto"/>
          <w:color w:val="0000FF"/>
        </w:rPr>
        <w:tab/>
      </w:r>
      <w:hyperlink r:id="rId121">
        <w:r>
          <w:rPr>
            <w:rFonts w:ascii="Times New Roman" w:cs="Times New Roman" w:eastAsia="Times New Roman" w:hAnsi="Times New Roman"/>
            <w:sz w:val="17"/>
            <w:szCs w:val="17"/>
            <w:u w:val="single" w:color="auto"/>
            <w:color w:val="0000FF"/>
          </w:rPr>
          <w:t>Indenture, dated as of November 16, 2020, between the Registrant and U.S. Bank National Association (incorporated by reference to</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Exhibit 4.1 to the Registrant’s Current Report on Form 8-K, File No. 001-35986, filed on November 16, 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420" w:hanging="636"/>
        <w:spacing w:after="0"/>
        <w:tabs>
          <w:tab w:leader="none" w:pos="1620" w:val="left"/>
        </w:tabs>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4.6</w:t>
        </w:r>
      </w:hyperlink>
      <w:r>
        <w:rPr>
          <w:rFonts w:ascii="Times New Roman" w:cs="Times New Roman" w:eastAsia="Times New Roman" w:hAnsi="Times New Roman"/>
          <w:sz w:val="17"/>
          <w:szCs w:val="17"/>
          <w:u w:val="single" w:color="auto"/>
          <w:color w:val="0000FF"/>
        </w:rPr>
        <w:tab/>
      </w:r>
      <w:hyperlink r:id="rId121">
        <w:r>
          <w:rPr>
            <w:rFonts w:ascii="Times New Roman" w:cs="Times New Roman" w:eastAsia="Times New Roman" w:hAnsi="Times New Roman"/>
            <w:sz w:val="17"/>
            <w:szCs w:val="17"/>
            <w:u w:val="single" w:color="auto"/>
            <w:color w:val="0000FF"/>
          </w:rPr>
          <w:t>Form of 4.00% Convertible Senior Subordinated Note due 2025 (incorporated by reference to Exhibit 4.1 to the Registrant’s Current</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Report on Form 8-K, File No. 001-35986, filed on November 16, 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540" w:hanging="636"/>
        <w:spacing w:after="0"/>
        <w:tabs>
          <w:tab w:leader="none" w:pos="1620" w:val="left"/>
        </w:tabs>
        <w:rPr>
          <w:rFonts w:ascii="Times New Roman" w:cs="Times New Roman" w:eastAsia="Times New Roman" w:hAnsi="Times New Roman"/>
          <w:sz w:val="17"/>
          <w:szCs w:val="17"/>
          <w:u w:val="single" w:color="auto"/>
          <w:color w:val="0000FF"/>
        </w:rPr>
      </w:pPr>
      <w:hyperlink r:id="rId122">
        <w:r>
          <w:rPr>
            <w:rFonts w:ascii="Times New Roman" w:cs="Times New Roman" w:eastAsia="Times New Roman" w:hAnsi="Times New Roman"/>
            <w:sz w:val="17"/>
            <w:szCs w:val="17"/>
            <w:u w:val="single" w:color="auto"/>
            <w:color w:val="0000FF"/>
          </w:rPr>
          <w:t>4.7</w:t>
        </w:r>
      </w:hyperlink>
      <w:r>
        <w:rPr>
          <w:rFonts w:ascii="Times New Roman" w:cs="Times New Roman" w:eastAsia="Times New Roman" w:hAnsi="Times New Roman"/>
          <w:sz w:val="17"/>
          <w:szCs w:val="17"/>
          <w:u w:val="single" w:color="auto"/>
          <w:color w:val="0000FF"/>
        </w:rPr>
        <w:tab/>
      </w:r>
      <w:hyperlink r:id="rId122">
        <w:r>
          <w:rPr>
            <w:rFonts w:ascii="Times New Roman" w:cs="Times New Roman" w:eastAsia="Times New Roman" w:hAnsi="Times New Roman"/>
            <w:sz w:val="17"/>
            <w:szCs w:val="17"/>
            <w:u w:val="single" w:color="auto"/>
            <w:color w:val="0000FF"/>
          </w:rPr>
          <w:t>Form of Warrant to Purchase Preferred Stock dated September 4, 2012 (incorporated by reference to Exhibit 4.3 to the Registrant’s</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Registration Statement on Form S-1, as amended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180" w:hanging="636"/>
        <w:spacing w:after="0"/>
        <w:tabs>
          <w:tab w:leader="none" w:pos="1620" w:val="left"/>
        </w:tabs>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4.8</w:t>
        </w:r>
      </w:hyperlink>
      <w:r>
        <w:rPr>
          <w:rFonts w:ascii="Times New Roman" w:cs="Times New Roman" w:eastAsia="Times New Roman" w:hAnsi="Times New Roman"/>
          <w:sz w:val="17"/>
          <w:szCs w:val="17"/>
          <w:u w:val="single" w:color="auto"/>
          <w:color w:val="0000FF"/>
        </w:rPr>
        <w:tab/>
      </w:r>
      <w:hyperlink r:id="rId123">
        <w:r>
          <w:rPr>
            <w:rFonts w:ascii="Times New Roman" w:cs="Times New Roman" w:eastAsia="Times New Roman" w:hAnsi="Times New Roman"/>
            <w:sz w:val="17"/>
            <w:szCs w:val="17"/>
            <w:u w:val="single" w:color="auto"/>
            <w:color w:val="0000FF"/>
          </w:rPr>
          <w:t>Form of Warrant Amendment Agreement (incorporated by reference to Exhibit 10.2 to the Registrant’s Quarterly Report on Form 10-Q,</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File No. 001-35986, filed on May 9, 2023)</w:t>
        </w:r>
      </w:hyperlink>
    </w:p>
    <w:p>
      <w:pPr>
        <w:spacing w:after="0" w:line="10" w:lineRule="exact"/>
        <w:rPr>
          <w:rFonts w:ascii="Times New Roman" w:cs="Times New Roman" w:eastAsia="Times New Roman" w:hAnsi="Times New Roman"/>
          <w:sz w:val="17"/>
          <w:szCs w:val="17"/>
          <w:u w:val="single" w:color="auto"/>
          <w:color w:val="0000FF"/>
        </w:rPr>
      </w:pPr>
    </w:p>
    <w:p>
      <w:pPr>
        <w:ind w:left="1640" w:right="240" w:hanging="636"/>
        <w:spacing w:after="0"/>
        <w:tabs>
          <w:tab w:leader="none" w:pos="1620" w:val="left"/>
        </w:tabs>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4.9</w:t>
        </w:r>
      </w:hyperlink>
      <w:r>
        <w:rPr>
          <w:rFonts w:ascii="Times New Roman" w:cs="Times New Roman" w:eastAsia="Times New Roman" w:hAnsi="Times New Roman"/>
          <w:sz w:val="17"/>
          <w:szCs w:val="17"/>
          <w:u w:val="single" w:color="auto"/>
          <w:color w:val="0000FF"/>
        </w:rPr>
        <w:tab/>
      </w:r>
      <w:hyperlink r:id="rId124">
        <w:r>
          <w:rPr>
            <w:rFonts w:ascii="Times New Roman" w:cs="Times New Roman" w:eastAsia="Times New Roman" w:hAnsi="Times New Roman"/>
            <w:sz w:val="17"/>
            <w:szCs w:val="17"/>
            <w:u w:val="single" w:color="auto"/>
            <w:color w:val="0000FF"/>
          </w:rPr>
          <w:t>Securities Purchase Agreement by and among the Registrant and the Purchasers named therein, dated March 19, 2023 (incorporated by</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reference to Exhibit 10.1 to the Registrant’s Quarterly Report on Form 10-Q, File No. 001-35986, filed on May 9, 2023)</w:t>
        </w:r>
      </w:hyperlink>
    </w:p>
    <w:p>
      <w:pPr>
        <w:spacing w:after="0" w:line="10" w:lineRule="exact"/>
        <w:rPr>
          <w:rFonts w:ascii="Times New Roman" w:cs="Times New Roman" w:eastAsia="Times New Roman" w:hAnsi="Times New Roman"/>
          <w:sz w:val="17"/>
          <w:szCs w:val="17"/>
          <w:u w:val="single" w:color="auto"/>
          <w:color w:val="0000FF"/>
        </w:rPr>
      </w:pPr>
    </w:p>
    <w:p>
      <w:pPr>
        <w:ind w:left="1640" w:right="360" w:hanging="722"/>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4.10</w:t>
        </w:r>
      </w:hyperlink>
      <w:r>
        <w:rPr>
          <w:rFonts w:ascii="Times New Roman" w:cs="Times New Roman" w:eastAsia="Times New Roman" w:hAnsi="Times New Roman"/>
          <w:sz w:val="17"/>
          <w:szCs w:val="17"/>
          <w:u w:val="single" w:color="auto"/>
          <w:color w:val="0000FF"/>
        </w:rPr>
        <w:tab/>
      </w:r>
      <w:hyperlink r:id="rId125">
        <w:r>
          <w:rPr>
            <w:rFonts w:ascii="Times New Roman" w:cs="Times New Roman" w:eastAsia="Times New Roman" w:hAnsi="Times New Roman"/>
            <w:sz w:val="17"/>
            <w:szCs w:val="17"/>
            <w:u w:val="single" w:color="auto"/>
            <w:color w:val="0000FF"/>
          </w:rPr>
          <w:t>Indenture, dated as of December 17, 2024, between the Registrant and U.S. Bank Trust Company, National Association, as Trustee</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(incorporated by reference to Exhibit 4.1 to the Registrant’s Current Report on Form 8-K, File No. 001-35986, filed on December 18,</w:t>
        </w:r>
      </w:hyperlink>
    </w:p>
    <w:p>
      <w:pPr>
        <w:ind w:left="1640"/>
        <w:spacing w:after="0"/>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2024)</w:t>
        </w:r>
      </w:hyperlink>
    </w:p>
    <w:p>
      <w:pPr>
        <w:spacing w:after="0" w:line="10" w:lineRule="exact"/>
        <w:rPr>
          <w:rFonts w:ascii="Times New Roman" w:cs="Times New Roman" w:eastAsia="Times New Roman" w:hAnsi="Times New Roman"/>
          <w:sz w:val="17"/>
          <w:szCs w:val="17"/>
          <w:u w:val="single" w:color="auto"/>
          <w:color w:val="0000FF"/>
        </w:rPr>
      </w:pPr>
    </w:p>
    <w:p>
      <w:pPr>
        <w:ind w:left="1640" w:right="420" w:hanging="716"/>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4.11</w:t>
        </w:r>
      </w:hyperlink>
      <w:r>
        <w:rPr>
          <w:rFonts w:ascii="Times New Roman" w:cs="Times New Roman" w:eastAsia="Times New Roman" w:hAnsi="Times New Roman"/>
          <w:sz w:val="17"/>
          <w:szCs w:val="17"/>
          <w:u w:val="single" w:color="auto"/>
          <w:color w:val="0000FF"/>
        </w:rPr>
        <w:tab/>
      </w:r>
      <w:hyperlink r:id="rId125">
        <w:r>
          <w:rPr>
            <w:rFonts w:ascii="Times New Roman" w:cs="Times New Roman" w:eastAsia="Times New Roman" w:hAnsi="Times New Roman"/>
            <w:sz w:val="17"/>
            <w:szCs w:val="17"/>
            <w:u w:val="single" w:color="auto"/>
            <w:color w:val="0000FF"/>
          </w:rPr>
          <w:t>Form of 5.75% Convertible Senior Subordinated Note due 2030 (incorporated by reference to Exhibit 4.1 to the Registrant’s Current</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Report on Form 8-K, File No. 001-35986, filed on December 18, 2024)</w:t>
        </w:r>
      </w:hyperlink>
    </w:p>
    <w:p>
      <w:pPr>
        <w:spacing w:after="0" w:line="11" w:lineRule="exact"/>
        <w:rPr>
          <w:rFonts w:ascii="Times New Roman" w:cs="Times New Roman" w:eastAsia="Times New Roman" w:hAnsi="Times New Roman"/>
          <w:sz w:val="17"/>
          <w:szCs w:val="17"/>
          <w:u w:val="single" w:color="auto"/>
          <w:color w:val="0000FF"/>
        </w:rPr>
      </w:pPr>
    </w:p>
    <w:p>
      <w:pPr>
        <w:ind w:left="1640" w:right="300" w:hanging="808"/>
        <w:spacing w:after="0"/>
        <w:tabs>
          <w:tab w:leader="none" w:pos="1620" w:val="left"/>
        </w:tabs>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10.1*</w:t>
        </w:r>
      </w:hyperlink>
      <w:r>
        <w:rPr>
          <w:rFonts w:ascii="Times New Roman" w:cs="Times New Roman" w:eastAsia="Times New Roman" w:hAnsi="Times New Roman"/>
          <w:sz w:val="17"/>
          <w:szCs w:val="17"/>
          <w:u w:val="single" w:color="auto"/>
          <w:color w:val="0000FF"/>
        </w:rPr>
        <w:tab/>
      </w:r>
      <w:hyperlink r:id="rId126">
        <w:r>
          <w:rPr>
            <w:rFonts w:ascii="Times New Roman" w:cs="Times New Roman" w:eastAsia="Times New Roman" w:hAnsi="Times New Roman"/>
            <w:sz w:val="17"/>
            <w:szCs w:val="17"/>
            <w:u w:val="single" w:color="auto"/>
            <w:color w:val="0000FF"/>
          </w:rPr>
          <w:t>License Agreement between Pfizer Inc. and the Registrant dated April 28, 2008 and amended on November 17, 2010 (incorporated by</w:t>
        </w:r>
      </w:hyperlink>
      <w:r>
        <w:rPr>
          <w:rFonts w:ascii="Times New Roman" w:cs="Times New Roman" w:eastAsia="Times New Roman" w:hAnsi="Times New Roman"/>
          <w:sz w:val="17"/>
          <w:szCs w:val="17"/>
          <w:u w:val="single" w:color="auto"/>
          <w:color w:val="0000FF"/>
        </w:rPr>
        <w:t xml:space="preserve"> </w:t>
      </w:r>
      <w:hyperlink r:id="rId126">
        <w:r>
          <w:rPr>
            <w:rFonts w:ascii="Times New Roman" w:cs="Times New Roman" w:eastAsia="Times New Roman" w:hAnsi="Times New Roman"/>
            <w:sz w:val="17"/>
            <w:szCs w:val="17"/>
            <w:u w:val="single" w:color="auto"/>
            <w:color w:val="0000FF"/>
          </w:rPr>
          <w:t>reference to Exhibit 10.7 to the Registrant’s Registration Statement on Form S-1,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360" w:hanging="722"/>
        <w:spacing w:after="0"/>
        <w:tabs>
          <w:tab w:leader="none" w:pos="1620" w:val="left"/>
        </w:tabs>
        <w:rPr>
          <w:rFonts w:ascii="Times New Roman" w:cs="Times New Roman" w:eastAsia="Times New Roman" w:hAnsi="Times New Roman"/>
          <w:sz w:val="17"/>
          <w:szCs w:val="17"/>
          <w:u w:val="single" w:color="auto"/>
          <w:color w:val="0000FF"/>
        </w:rPr>
      </w:pPr>
      <w:hyperlink r:id="rId127">
        <w:r>
          <w:rPr>
            <w:rFonts w:ascii="Times New Roman" w:cs="Times New Roman" w:eastAsia="Times New Roman" w:hAnsi="Times New Roman"/>
            <w:sz w:val="17"/>
            <w:szCs w:val="17"/>
            <w:u w:val="single" w:color="auto"/>
            <w:color w:val="0000FF"/>
          </w:rPr>
          <w:t>10.2</w:t>
        </w:r>
      </w:hyperlink>
      <w:r>
        <w:rPr>
          <w:rFonts w:ascii="Times New Roman" w:cs="Times New Roman" w:eastAsia="Times New Roman" w:hAnsi="Times New Roman"/>
          <w:sz w:val="17"/>
          <w:szCs w:val="17"/>
          <w:u w:val="single" w:color="auto"/>
          <w:color w:val="0000FF"/>
        </w:rPr>
        <w:tab/>
      </w:r>
      <w:hyperlink r:id="rId127">
        <w:r>
          <w:rPr>
            <w:rFonts w:ascii="Times New Roman" w:cs="Times New Roman" w:eastAsia="Times New Roman" w:hAnsi="Times New Roman"/>
            <w:sz w:val="17"/>
            <w:szCs w:val="17"/>
            <w:u w:val="single" w:color="auto"/>
            <w:color w:val="0000FF"/>
          </w:rPr>
          <w:t>Valley Ranch Business Park Lease by and between the Registrant and McMullen SPE, LLC, dated February 4, 2014 (incorporated by</w:t>
        </w:r>
      </w:hyperlink>
      <w:r>
        <w:rPr>
          <w:rFonts w:ascii="Times New Roman" w:cs="Times New Roman" w:eastAsia="Times New Roman" w:hAnsi="Times New Roman"/>
          <w:sz w:val="17"/>
          <w:szCs w:val="17"/>
          <w:u w:val="single" w:color="auto"/>
          <w:color w:val="0000FF"/>
        </w:rPr>
        <w:t xml:space="preserve"> </w:t>
      </w:r>
      <w:hyperlink r:id="rId127">
        <w:r>
          <w:rPr>
            <w:rFonts w:ascii="Times New Roman" w:cs="Times New Roman" w:eastAsia="Times New Roman" w:hAnsi="Times New Roman"/>
            <w:sz w:val="17"/>
            <w:szCs w:val="17"/>
            <w:u w:val="single" w:color="auto"/>
            <w:color w:val="0000FF"/>
          </w:rPr>
          <w:t>reference to Exhibit 10.1 to the Registrant’s Current Report on Form 8-K, File No. 001-35986, filed on February 7, 2014)</w:t>
        </w:r>
      </w:hyperlink>
    </w:p>
    <w:p>
      <w:pPr>
        <w:spacing w:after="0" w:line="10" w:lineRule="exact"/>
        <w:rPr>
          <w:rFonts w:ascii="Times New Roman" w:cs="Times New Roman" w:eastAsia="Times New Roman" w:hAnsi="Times New Roman"/>
          <w:sz w:val="17"/>
          <w:szCs w:val="17"/>
          <w:u w:val="single" w:color="auto"/>
          <w:color w:val="0000FF"/>
        </w:rPr>
      </w:pPr>
    </w:p>
    <w:p>
      <w:pPr>
        <w:ind w:left="1640" w:right="20" w:hanging="722"/>
        <w:spacing w:after="0"/>
        <w:tabs>
          <w:tab w:leader="none" w:pos="1620" w:val="left"/>
        </w:tabs>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10.3</w:t>
        </w:r>
      </w:hyperlink>
      <w:r>
        <w:rPr>
          <w:rFonts w:ascii="Times New Roman" w:cs="Times New Roman" w:eastAsia="Times New Roman" w:hAnsi="Times New Roman"/>
          <w:sz w:val="17"/>
          <w:szCs w:val="17"/>
          <w:u w:val="single" w:color="auto"/>
          <w:color w:val="0000FF"/>
        </w:rPr>
        <w:tab/>
      </w:r>
      <w:hyperlink r:id="rId128">
        <w:r>
          <w:rPr>
            <w:rFonts w:ascii="Times New Roman" w:cs="Times New Roman" w:eastAsia="Times New Roman" w:hAnsi="Times New Roman"/>
            <w:sz w:val="17"/>
            <w:szCs w:val="17"/>
            <w:u w:val="single" w:color="auto"/>
            <w:color w:val="0000FF"/>
          </w:rPr>
          <w:t>Form of Officer Indemnification Agreement entered into between the Registrant and its officers (incorporated by reference to Exhibit 10.8</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to the Registrant’s Registration Statement on Form S-1, File No. 333-188595, filed on May 14, 2013)</w:t>
        </w:r>
      </w:hyperlink>
    </w:p>
    <w:p>
      <w:pPr>
        <w:spacing w:after="0" w:line="10" w:lineRule="exact"/>
        <w:rPr>
          <w:rFonts w:ascii="Times New Roman" w:cs="Times New Roman" w:eastAsia="Times New Roman" w:hAnsi="Times New Roman"/>
          <w:sz w:val="17"/>
          <w:szCs w:val="17"/>
          <w:u w:val="single" w:color="auto"/>
          <w:color w:val="0000FF"/>
        </w:rPr>
      </w:pPr>
    </w:p>
    <w:p>
      <w:pPr>
        <w:ind w:left="1640" w:right="760" w:hanging="722"/>
        <w:spacing w:after="0"/>
        <w:tabs>
          <w:tab w:leader="none" w:pos="1620" w:val="left"/>
        </w:tabs>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10.4</w:t>
        </w:r>
      </w:hyperlink>
      <w:r>
        <w:rPr>
          <w:rFonts w:ascii="Times New Roman" w:cs="Times New Roman" w:eastAsia="Times New Roman" w:hAnsi="Times New Roman"/>
          <w:sz w:val="17"/>
          <w:szCs w:val="17"/>
          <w:u w:val="single" w:color="auto"/>
          <w:color w:val="0000FF"/>
        </w:rPr>
        <w:tab/>
      </w:r>
      <w:hyperlink r:id="rId129">
        <w:r>
          <w:rPr>
            <w:rFonts w:ascii="Times New Roman" w:cs="Times New Roman" w:eastAsia="Times New Roman" w:hAnsi="Times New Roman"/>
            <w:sz w:val="17"/>
            <w:szCs w:val="17"/>
            <w:u w:val="single" w:color="auto"/>
            <w:color w:val="0000FF"/>
          </w:rPr>
          <w:t>Form of Director Indemnification Agreement entered into between the Registrant and its directors (incorporated by reference to</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Exhibit 10.9 to the Registrant’s Registration Statement on Form S-1, File No. 333-188595, filed on May 14, 2013)</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7" w:lineRule="exact"/>
        <w:rPr>
          <w:rFonts w:ascii="Times New Roman" w:cs="Times New Roman" w:eastAsia="Times New Roman" w:hAnsi="Times New Roman"/>
          <w:sz w:val="17"/>
          <w:szCs w:val="17"/>
          <w:u w:val="single" w:color="auto"/>
          <w:color w:val="0000FF"/>
        </w:rPr>
      </w:pPr>
    </w:p>
    <w:p>
      <w:pPr>
        <w:jc w:val="center"/>
        <w:ind w:right="-5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40" w:right="660" w:hanging="808"/>
        <w:spacing w:after="0"/>
        <w:tabs>
          <w:tab w:leader="none" w:pos="1620" w:val="left"/>
        </w:tabs>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10.5#</w:t>
        </w:r>
      </w:hyperlink>
      <w:r>
        <w:rPr>
          <w:rFonts w:ascii="Times New Roman" w:cs="Times New Roman" w:eastAsia="Times New Roman" w:hAnsi="Times New Roman"/>
          <w:sz w:val="17"/>
          <w:szCs w:val="17"/>
          <w:u w:val="single" w:color="auto"/>
          <w:color w:val="0000FF"/>
        </w:rPr>
        <w:tab/>
      </w:r>
      <w:hyperlink r:id="rId131">
        <w:r>
          <w:rPr>
            <w:rFonts w:ascii="Times New Roman" w:cs="Times New Roman" w:eastAsia="Times New Roman" w:hAnsi="Times New Roman"/>
            <w:sz w:val="17"/>
            <w:szCs w:val="17"/>
            <w:u w:val="single" w:color="auto"/>
            <w:color w:val="0000FF"/>
          </w:rPr>
          <w:t>Amended and Restated 2013 Stock Option and Incentive Plan and forms of agreements thereunder (incorporated by reference to</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Exhibit 10.1 of the Registrant’s Quarterly Report on Form 10-Q, File No. 001-35986, filed on November 3, 2016)</w:t>
        </w:r>
      </w:hyperlink>
    </w:p>
    <w:p>
      <w:pPr>
        <w:spacing w:after="0" w:line="10" w:lineRule="exact"/>
        <w:rPr>
          <w:rFonts w:ascii="Times New Roman" w:cs="Times New Roman" w:eastAsia="Times New Roman" w:hAnsi="Times New Roman"/>
          <w:sz w:val="17"/>
          <w:szCs w:val="17"/>
          <w:u w:val="single" w:color="auto"/>
          <w:color w:val="0000FF"/>
        </w:rPr>
      </w:pPr>
    </w:p>
    <w:p>
      <w:pPr>
        <w:ind w:left="1640" w:right="360" w:hanging="808"/>
        <w:spacing w:after="0"/>
        <w:tabs>
          <w:tab w:leader="none" w:pos="1620" w:val="left"/>
        </w:tabs>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10.6#</w:t>
        </w:r>
      </w:hyperlink>
      <w:r>
        <w:rPr>
          <w:rFonts w:ascii="Times New Roman" w:cs="Times New Roman" w:eastAsia="Times New Roman" w:hAnsi="Times New Roman"/>
          <w:sz w:val="17"/>
          <w:szCs w:val="17"/>
          <w:u w:val="single" w:color="auto"/>
          <w:color w:val="0000FF"/>
        </w:rPr>
        <w:tab/>
      </w:r>
      <w:hyperlink r:id="rId132">
        <w:r>
          <w:rPr>
            <w:rFonts w:ascii="Times New Roman" w:cs="Times New Roman" w:eastAsia="Times New Roman" w:hAnsi="Times New Roman"/>
            <w:sz w:val="17"/>
            <w:szCs w:val="17"/>
            <w:u w:val="single" w:color="auto"/>
            <w:color w:val="0000FF"/>
          </w:rPr>
          <w:t>2017 Inducement Equity Plan and form of award agreement thereunder (incorporated by reference to Exhibit 99.1 to the Registrant’s</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Registration Statement on Form S-8, File No. 333-218084, filed on May 18, 2017).</w:t>
        </w:r>
      </w:hyperlink>
    </w:p>
    <w:p>
      <w:pPr>
        <w:spacing w:after="0" w:line="10" w:lineRule="exact"/>
        <w:rPr>
          <w:rFonts w:ascii="Times New Roman" w:cs="Times New Roman" w:eastAsia="Times New Roman" w:hAnsi="Times New Roman"/>
          <w:sz w:val="17"/>
          <w:szCs w:val="17"/>
          <w:u w:val="single" w:color="auto"/>
          <w:color w:val="0000FF"/>
        </w:rPr>
      </w:pPr>
    </w:p>
    <w:p>
      <w:pPr>
        <w:ind w:left="1640" w:right="300" w:hanging="722"/>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10.7</w:t>
        </w:r>
      </w:hyperlink>
      <w:r>
        <w:rPr>
          <w:rFonts w:ascii="Times New Roman" w:cs="Times New Roman" w:eastAsia="Times New Roman" w:hAnsi="Times New Roman"/>
          <w:sz w:val="17"/>
          <w:szCs w:val="17"/>
          <w:u w:val="single" w:color="auto"/>
          <w:color w:val="0000FF"/>
        </w:rPr>
        <w:tab/>
      </w:r>
      <w:hyperlink r:id="rId133">
        <w:r>
          <w:rPr>
            <w:rFonts w:ascii="Times New Roman" w:cs="Times New Roman" w:eastAsia="Times New Roman" w:hAnsi="Times New Roman"/>
            <w:sz w:val="17"/>
            <w:szCs w:val="17"/>
            <w:u w:val="single" w:color="auto"/>
            <w:color w:val="0000FF"/>
          </w:rPr>
          <w:t>First Amendment to Valley Ranch Business Park Lease, dated July 6, 2018, between the Registrant and Blackbird Ann Arbor, LLC</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2,</w:t>
        </w:r>
      </w:hyperlink>
    </w:p>
    <w:p>
      <w:pPr>
        <w:ind w:left="1640"/>
        <w:spacing w:after="0"/>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2018)</w:t>
        </w:r>
      </w:hyperlink>
    </w:p>
    <w:p>
      <w:pPr>
        <w:spacing w:after="0" w:line="10" w:lineRule="exact"/>
        <w:rPr>
          <w:rFonts w:ascii="Times New Roman" w:cs="Times New Roman" w:eastAsia="Times New Roman" w:hAnsi="Times New Roman"/>
          <w:sz w:val="17"/>
          <w:szCs w:val="17"/>
          <w:u w:val="single" w:color="auto"/>
          <w:color w:val="0000FF"/>
        </w:rPr>
      </w:pPr>
    </w:p>
    <w:p>
      <w:pPr>
        <w:ind w:left="1640" w:right="220" w:hanging="808"/>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10.8*</w:t>
        </w:r>
      </w:hyperlink>
      <w:r>
        <w:rPr>
          <w:rFonts w:ascii="Times New Roman" w:cs="Times New Roman" w:eastAsia="Times New Roman" w:hAnsi="Times New Roman"/>
          <w:sz w:val="17"/>
          <w:szCs w:val="17"/>
          <w:u w:val="single" w:color="auto"/>
          <w:color w:val="0000FF"/>
        </w:rPr>
        <w:tab/>
      </w:r>
      <w:hyperlink r:id="rId134">
        <w:r>
          <w:rPr>
            <w:rFonts w:ascii="Times New Roman" w:cs="Times New Roman" w:eastAsia="Times New Roman" w:hAnsi="Times New Roman"/>
            <w:sz w:val="17"/>
            <w:szCs w:val="17"/>
            <w:u w:val="single" w:color="auto"/>
            <w:color w:val="0000FF"/>
          </w:rPr>
          <w:t>License and Collaboration Agreement by and between Daiichi Sankyo Europe GmbH and the Registrant, dated as of January 2, 2019</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(incorporated by reference to Exhibit 10.16 to the Registrant's Annual Report on Form 10-K, File No. 001-35986 filed on February 28,</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2019)</w:t>
        </w:r>
      </w:hyperlink>
    </w:p>
    <w:p>
      <w:pPr>
        <w:ind w:left="920"/>
        <w:spacing w:after="0" w:line="235" w:lineRule="auto"/>
        <w:tabs>
          <w:tab w:leader="none" w:pos="1620" w:val="left"/>
        </w:tabs>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10.9</w:t>
        </w:r>
      </w:hyperlink>
      <w:r>
        <w:rPr>
          <w:rFonts w:ascii="Times New Roman" w:cs="Times New Roman" w:eastAsia="Times New Roman" w:hAnsi="Times New Roman"/>
          <w:sz w:val="17"/>
          <w:szCs w:val="17"/>
          <w:u w:val="single" w:color="auto"/>
          <w:color w:val="0000FF"/>
        </w:rPr>
        <w:tab/>
      </w:r>
      <w:hyperlink r:id="rId135">
        <w:r>
          <w:rPr>
            <w:rFonts w:ascii="Times New Roman" w:cs="Times New Roman" w:eastAsia="Times New Roman" w:hAnsi="Times New Roman"/>
            <w:sz w:val="17"/>
            <w:szCs w:val="17"/>
            <w:u w:val="single" w:color="auto"/>
            <w:color w:val="0000FF"/>
          </w:rPr>
          <w:t>Revenue Interest Purchase Agreement by and among the Registrant, Eiger III SA LLC, and the Purchasers named therein, dated June 26,</w:t>
        </w:r>
      </w:hyperlink>
    </w:p>
    <w:p>
      <w:pPr>
        <w:ind w:left="1640"/>
        <w:spacing w:after="0" w:line="222" w:lineRule="auto"/>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2019 (incorporated by reference to Exhibit 10.1 to the Registrant's Current Report on Form 8-K, File No. 001-35986, filed on June 26,</w:t>
        </w:r>
      </w:hyperlink>
    </w:p>
    <w:p>
      <w:pPr>
        <w:spacing w:after="0" w:line="1"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2019)</w:t>
        </w:r>
      </w:hyperlink>
    </w:p>
    <w:p>
      <w:pPr>
        <w:spacing w:after="0" w:line="10" w:lineRule="exact"/>
        <w:rPr>
          <w:sz w:val="20"/>
          <w:szCs w:val="20"/>
          <w:color w:val="auto"/>
        </w:rPr>
      </w:pPr>
    </w:p>
    <w:p>
      <w:pPr>
        <w:ind w:left="760"/>
        <w:spacing w:after="0"/>
        <w:tabs>
          <w:tab w:leader="none" w:pos="1620" w:val="left"/>
        </w:tabs>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10.10#</w:t>
        </w:r>
      </w:hyperlink>
      <w:r>
        <w:rPr>
          <w:rFonts w:ascii="Times New Roman" w:cs="Times New Roman" w:eastAsia="Times New Roman" w:hAnsi="Times New Roman"/>
          <w:sz w:val="17"/>
          <w:szCs w:val="17"/>
          <w:u w:val="single" w:color="auto"/>
          <w:color w:val="0000FF"/>
        </w:rPr>
        <w:tab/>
      </w:r>
      <w:hyperlink r:id="rId136">
        <w:r>
          <w:rPr>
            <w:rFonts w:ascii="Times New Roman" w:cs="Times New Roman" w:eastAsia="Times New Roman" w:hAnsi="Times New Roman"/>
            <w:sz w:val="17"/>
            <w:szCs w:val="17"/>
            <w:u w:val="single" w:color="auto"/>
            <w:color w:val="0000FF"/>
          </w:rPr>
          <w:t>First Amendment to 2017 Inducement Equity Plan (incorporated by reference to Exhibit 10.16 to the Registrant’s Annual Report on Form</w:t>
        </w:r>
      </w:hyperlink>
    </w:p>
    <w:p>
      <w:pPr>
        <w:spacing w:after="0" w:line="25"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10-K, File No. 001-35986, filed on February 27, 2020)</w:t>
        </w:r>
      </w:hyperlink>
    </w:p>
    <w:p>
      <w:pPr>
        <w:spacing w:after="0" w:line="32" w:lineRule="exact"/>
        <w:rPr>
          <w:sz w:val="20"/>
          <w:szCs w:val="20"/>
          <w:color w:val="auto"/>
        </w:rPr>
      </w:pPr>
    </w:p>
    <w:p>
      <w:pPr>
        <w:ind w:left="1640" w:right="780" w:hanging="894"/>
        <w:spacing w:after="0" w:line="272" w:lineRule="auto"/>
        <w:tabs>
          <w:tab w:leader="none" w:pos="1620" w:val="left"/>
        </w:tabs>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10.11#</w:t>
        </w:r>
      </w:hyperlink>
      <w:r>
        <w:rPr>
          <w:rFonts w:ascii="Times New Roman" w:cs="Times New Roman" w:eastAsia="Times New Roman" w:hAnsi="Times New Roman"/>
          <w:sz w:val="17"/>
          <w:szCs w:val="17"/>
          <w:u w:val="single" w:color="auto"/>
          <w:color w:val="0000FF"/>
        </w:rPr>
        <w:tab/>
      </w:r>
      <w:hyperlink r:id="rId137">
        <w:r>
          <w:rPr>
            <w:rFonts w:ascii="Times New Roman" w:cs="Times New Roman" w:eastAsia="Times New Roman" w:hAnsi="Times New Roman"/>
            <w:sz w:val="17"/>
            <w:szCs w:val="17"/>
            <w:u w:val="single" w:color="auto"/>
            <w:color w:val="0000FF"/>
          </w:rPr>
          <w:t>Esperion Therapeutics, Inc. 2020 Employee Stock Purchase Plan, as amended (incorporated by reference to Exhibit 10.2 to the</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Registrant's Current Report on Form 8-K, File No. 001-35986, filed on May 28, 2024)</w:t>
        </w:r>
      </w:hyperlink>
    </w:p>
    <w:p>
      <w:pPr>
        <w:spacing w:after="0" w:line="9" w:lineRule="exact"/>
        <w:rPr>
          <w:rFonts w:ascii="Times New Roman" w:cs="Times New Roman" w:eastAsia="Times New Roman" w:hAnsi="Times New Roman"/>
          <w:sz w:val="17"/>
          <w:szCs w:val="17"/>
          <w:u w:val="single" w:color="auto"/>
          <w:color w:val="0000FF"/>
        </w:rPr>
      </w:pPr>
    </w:p>
    <w:p>
      <w:pPr>
        <w:ind w:left="1640" w:right="20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10.12*</w:t>
        </w:r>
      </w:hyperlink>
      <w:r>
        <w:rPr>
          <w:rFonts w:ascii="Times New Roman" w:cs="Times New Roman" w:eastAsia="Times New Roman" w:hAnsi="Times New Roman"/>
          <w:sz w:val="17"/>
          <w:szCs w:val="17"/>
          <w:u w:val="single" w:color="auto"/>
          <w:color w:val="0000FF"/>
        </w:rPr>
        <w:tab/>
      </w:r>
      <w:hyperlink r:id="rId138">
        <w:r>
          <w:rPr>
            <w:rFonts w:ascii="Times New Roman" w:cs="Times New Roman" w:eastAsia="Times New Roman" w:hAnsi="Times New Roman"/>
            <w:sz w:val="17"/>
            <w:szCs w:val="17"/>
            <w:u w:val="single" w:color="auto"/>
            <w:color w:val="0000FF"/>
          </w:rPr>
          <w:t>License and Collaboration Agreement by and between the Registrant and Otsuka Pharmaceutical Co., Ltd. dated April 17, 2020</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(incorporated by reference to Exhibit 10.2 of the Registrant’s Quarterly Report on Form 10-Q, File No. 001-35986, filed on August 10,</w:t>
        </w:r>
      </w:hyperlink>
    </w:p>
    <w:p>
      <w:pPr>
        <w:ind w:left="1640"/>
        <w:spacing w:after="0"/>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2020)</w:t>
        </w:r>
      </w:hyperlink>
    </w:p>
    <w:p>
      <w:pPr>
        <w:spacing w:after="0" w:line="10" w:lineRule="exact"/>
        <w:rPr>
          <w:rFonts w:ascii="Times New Roman" w:cs="Times New Roman" w:eastAsia="Times New Roman" w:hAnsi="Times New Roman"/>
          <w:sz w:val="17"/>
          <w:szCs w:val="17"/>
          <w:u w:val="single" w:color="auto"/>
          <w:color w:val="0000FF"/>
        </w:rPr>
      </w:pPr>
    </w:p>
    <w:p>
      <w:pPr>
        <w:ind w:left="1640" w:hanging="894"/>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10.13*</w:t>
        </w:r>
      </w:hyperlink>
      <w:r>
        <w:rPr>
          <w:rFonts w:ascii="Times New Roman" w:cs="Times New Roman" w:eastAsia="Times New Roman" w:hAnsi="Times New Roman"/>
          <w:sz w:val="17"/>
          <w:szCs w:val="17"/>
          <w:u w:val="single" w:color="auto"/>
          <w:color w:val="0000FF"/>
        </w:rPr>
        <w:tab/>
      </w:r>
      <w:hyperlink r:id="rId139">
        <w:r>
          <w:rPr>
            <w:rFonts w:ascii="Times New Roman" w:cs="Times New Roman" w:eastAsia="Times New Roman" w:hAnsi="Times New Roman"/>
            <w:sz w:val="17"/>
            <w:szCs w:val="17"/>
            <w:u w:val="single" w:color="auto"/>
            <w:color w:val="0000FF"/>
          </w:rPr>
          <w:t>1st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June 18, 2020 (incorporated by reference to Exhibit 10.3 of the Registrant’s Quarterly Report on Form 10-Q, File No. 001-35986, filed on</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August 10, 2020)</w:t>
        </w:r>
      </w:hyperlink>
    </w:p>
    <w:p>
      <w:pPr>
        <w:ind w:left="840"/>
        <w:spacing w:after="0" w:line="235" w:lineRule="auto"/>
        <w:tabs>
          <w:tab w:leader="none" w:pos="1620" w:val="left"/>
        </w:tabs>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10.14</w:t>
        </w:r>
      </w:hyperlink>
      <w:r>
        <w:rPr>
          <w:rFonts w:ascii="Times New Roman" w:cs="Times New Roman" w:eastAsia="Times New Roman" w:hAnsi="Times New Roman"/>
          <w:sz w:val="17"/>
          <w:szCs w:val="17"/>
          <w:u w:val="single" w:color="auto"/>
          <w:color w:val="0000FF"/>
        </w:rPr>
        <w:tab/>
      </w:r>
      <w:hyperlink r:id="rId140">
        <w:r>
          <w:rPr>
            <w:rFonts w:ascii="Times New Roman" w:cs="Times New Roman" w:eastAsia="Times New Roman" w:hAnsi="Times New Roman"/>
            <w:sz w:val="17"/>
            <w:szCs w:val="17"/>
            <w:u w:val="single" w:color="auto"/>
            <w:color w:val="0000FF"/>
          </w:rPr>
          <w:t>Form of Capped Call Confirmation (incorporated by reference to Exhibit 10.1 to the Registrant’s Current Report on Form 8-K, File No.</w:t>
        </w:r>
      </w:hyperlink>
    </w:p>
    <w:p>
      <w:pPr>
        <w:spacing w:after="0" w:line="1"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001-35986, filed on November 16, 2020)</w:t>
        </w:r>
      </w:hyperlink>
    </w:p>
    <w:p>
      <w:pPr>
        <w:spacing w:after="0" w:line="19" w:lineRule="exact"/>
        <w:rPr>
          <w:sz w:val="20"/>
          <w:szCs w:val="20"/>
          <w:color w:val="auto"/>
        </w:rPr>
      </w:pPr>
    </w:p>
    <w:p>
      <w:pPr>
        <w:ind w:left="1640" w:right="200" w:hanging="808"/>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10.15</w:t>
        </w:r>
      </w:hyperlink>
      <w:r>
        <w:rPr>
          <w:rFonts w:ascii="Times New Roman" w:cs="Times New Roman" w:eastAsia="Times New Roman" w:hAnsi="Times New Roman"/>
          <w:sz w:val="17"/>
          <w:szCs w:val="17"/>
          <w:u w:val="single" w:color="auto"/>
          <w:color w:val="0000FF"/>
        </w:rPr>
        <w:tab/>
      </w:r>
      <w:hyperlink r:id="rId141">
        <w:r>
          <w:rPr>
            <w:rFonts w:ascii="Times New Roman" w:cs="Times New Roman" w:eastAsia="Times New Roman" w:hAnsi="Times New Roman"/>
            <w:sz w:val="17"/>
            <w:szCs w:val="17"/>
            <w:u w:val="single" w:color="auto"/>
            <w:color w:val="0000FF"/>
          </w:rPr>
          <w:t>Forward Stock Purchase Confirmation, dated November 11, 2020, by and between the Registrant and Morgan Stanley &amp; Co. LLC</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(incorporated by reference to Exhibit 10.2 to the Registrant’s Current Report on Form 8-K, File No. 001-35986, filed on November 16,</w:t>
        </w:r>
      </w:hyperlink>
    </w:p>
    <w:p>
      <w:pPr>
        <w:ind w:left="1640"/>
        <w:spacing w:after="0"/>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120" w:hanging="808"/>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10.16</w:t>
        </w:r>
      </w:hyperlink>
      <w:r>
        <w:rPr>
          <w:rFonts w:ascii="Times New Roman" w:cs="Times New Roman" w:eastAsia="Times New Roman" w:hAnsi="Times New Roman"/>
          <w:sz w:val="17"/>
          <w:szCs w:val="17"/>
          <w:u w:val="single" w:color="auto"/>
          <w:color w:val="0000FF"/>
        </w:rPr>
        <w:tab/>
      </w:r>
      <w:hyperlink r:id="rId142">
        <w:r>
          <w:rPr>
            <w:rFonts w:ascii="Times New Roman" w:cs="Times New Roman" w:eastAsia="Times New Roman" w:hAnsi="Times New Roman"/>
            <w:sz w:val="17"/>
            <w:szCs w:val="17"/>
            <w:u w:val="single" w:color="auto"/>
            <w:color w:val="0000FF"/>
          </w:rPr>
          <w:t>Amendment No. 1 to the Revenue Interest Purchase Agreement, dated November 11, 2020, by and among the Registrant, the purchasers</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from time to time party thereto and Eiger III SA LLC, as the purchaser agent, dated effective as of June 26, 2019 (incorporated by</w:t>
        </w:r>
      </w:hyperlink>
    </w:p>
    <w:p>
      <w:pPr>
        <w:spacing w:after="0" w:line="1" w:lineRule="exact"/>
        <w:rPr>
          <w:rFonts w:ascii="Times New Roman" w:cs="Times New Roman" w:eastAsia="Times New Roman" w:hAnsi="Times New Roman"/>
          <w:sz w:val="17"/>
          <w:szCs w:val="17"/>
          <w:u w:val="single" w:color="auto"/>
          <w:color w:val="0000FF"/>
        </w:rPr>
      </w:pPr>
    </w:p>
    <w:p>
      <w:pPr>
        <w:jc w:val="center"/>
        <w:ind w:left="640"/>
        <w:spacing w:after="0"/>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reference to Exhibit 10.22 to the Registrant’s Annual Report on Form 10-K, File No. 001-35986, filed on February 23, 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8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10.17*</w:t>
        </w:r>
      </w:hyperlink>
      <w:r>
        <w:rPr>
          <w:rFonts w:ascii="Times New Roman" w:cs="Times New Roman" w:eastAsia="Times New Roman" w:hAnsi="Times New Roman"/>
          <w:sz w:val="17"/>
          <w:szCs w:val="17"/>
          <w:u w:val="single" w:color="auto"/>
          <w:color w:val="0000FF"/>
        </w:rPr>
        <w:tab/>
      </w:r>
      <w:hyperlink r:id="rId143">
        <w:r>
          <w:rPr>
            <w:rFonts w:ascii="Times New Roman" w:cs="Times New Roman" w:eastAsia="Times New Roman" w:hAnsi="Times New Roman"/>
            <w:sz w:val="17"/>
            <w:szCs w:val="17"/>
            <w:u w:val="single" w:color="auto"/>
            <w:color w:val="0000FF"/>
          </w:rPr>
          <w:t>Exchange Agreement, dated October 22, 2021, by and between the Registrant and the Holders (incorporated by reference to Exhibit 10.1</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to the Registrant’s Current Report on Form 8-K, File No. 001-35986, filed on October 25,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30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10.18*</w:t>
        </w:r>
      </w:hyperlink>
      <w:r>
        <w:rPr>
          <w:rFonts w:ascii="Times New Roman" w:cs="Times New Roman" w:eastAsia="Times New Roman" w:hAnsi="Times New Roman"/>
          <w:sz w:val="17"/>
          <w:szCs w:val="17"/>
          <w:u w:val="single" w:color="auto"/>
          <w:color w:val="0000FF"/>
        </w:rPr>
        <w:tab/>
      </w:r>
      <w:hyperlink r:id="rId144">
        <w:r>
          <w:rPr>
            <w:rFonts w:ascii="Times New Roman" w:cs="Times New Roman" w:eastAsia="Times New Roman" w:hAnsi="Times New Roman"/>
            <w:sz w:val="17"/>
            <w:szCs w:val="17"/>
            <w:u w:val="single" w:color="auto"/>
            <w:color w:val="0000FF"/>
          </w:rPr>
          <w:t>License and Collaboration Agreement, by and between the Registrant and Daiichi Sankyo Company, Limited dated April 26, 2021</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3,</w:t>
        </w:r>
      </w:hyperlink>
    </w:p>
    <w:p>
      <w:pPr>
        <w:ind w:left="1640"/>
        <w:spacing w:after="0"/>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20" w:hanging="808"/>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10.19</w:t>
        </w:r>
      </w:hyperlink>
      <w:r>
        <w:rPr>
          <w:rFonts w:ascii="Times New Roman" w:cs="Times New Roman" w:eastAsia="Times New Roman" w:hAnsi="Times New Roman"/>
          <w:sz w:val="17"/>
          <w:szCs w:val="17"/>
          <w:u w:val="single" w:color="auto"/>
          <w:color w:val="0000FF"/>
        </w:rPr>
        <w:tab/>
      </w:r>
      <w:hyperlink r:id="rId146">
        <w:r>
          <w:rPr>
            <w:rFonts w:ascii="Times New Roman" w:cs="Times New Roman" w:eastAsia="Times New Roman" w:hAnsi="Times New Roman"/>
            <w:sz w:val="17"/>
            <w:szCs w:val="17"/>
            <w:u w:val="single" w:color="auto"/>
            <w:color w:val="0000FF"/>
          </w:rPr>
          <w:t>Amendment No. 2 to the Revenue Interest Purchase Agreement, by and among the Registrant and the parties thereto dated April 26, 2021</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(incorporated by reference to Exhibit 10.1 to the Registrant’s Current Report on Form 8-K, File No. 001-35986, filed on April 26,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100" w:hanging="808"/>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10.20</w:t>
        </w:r>
      </w:hyperlink>
      <w:r>
        <w:rPr>
          <w:rFonts w:ascii="Times New Roman" w:cs="Times New Roman" w:eastAsia="Times New Roman" w:hAnsi="Times New Roman"/>
          <w:sz w:val="17"/>
          <w:szCs w:val="17"/>
          <w:u w:val="single" w:color="auto"/>
          <w:color w:val="0000FF"/>
        </w:rPr>
        <w:tab/>
      </w:r>
      <w:hyperlink r:id="rId148">
        <w:r>
          <w:rPr>
            <w:rFonts w:ascii="Times New Roman" w:cs="Times New Roman" w:eastAsia="Times New Roman" w:hAnsi="Times New Roman"/>
            <w:sz w:val="17"/>
            <w:szCs w:val="17"/>
            <w:u w:val="single" w:color="auto"/>
            <w:color w:val="0000FF"/>
          </w:rPr>
          <w:t>2nd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March 19, 2021 (incorporated by reference to Exhibit 10.1 to the Registrant’s Quarterly Report on Form 10-Q, File No. 001-35986, filed</w:t>
        </w:r>
      </w:hyperlink>
    </w:p>
    <w:p>
      <w:pPr>
        <w:ind w:left="1640"/>
        <w:spacing w:after="0"/>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on May 4, 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30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10.21#</w:t>
        </w:r>
      </w:hyperlink>
      <w:r>
        <w:rPr>
          <w:rFonts w:ascii="Times New Roman" w:cs="Times New Roman" w:eastAsia="Times New Roman" w:hAnsi="Times New Roman"/>
          <w:sz w:val="17"/>
          <w:szCs w:val="17"/>
          <w:u w:val="single" w:color="auto"/>
          <w:color w:val="0000FF"/>
        </w:rPr>
        <w:tab/>
      </w:r>
      <w:hyperlink r:id="rId149">
        <w:r>
          <w:rPr>
            <w:rFonts w:ascii="Times New Roman" w:cs="Times New Roman" w:eastAsia="Times New Roman" w:hAnsi="Times New Roman"/>
            <w:sz w:val="17"/>
            <w:szCs w:val="17"/>
            <w:u w:val="single" w:color="auto"/>
            <w:color w:val="0000FF"/>
          </w:rPr>
          <w:t>Esperion Therapeutics, Inc. 2022 Stock Option and Incentive Plan, as amended, and forms of agreements thereunder (incorporated by</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reference to Exhibit 10.1 to the Registrant's Current Report on Form 8-K, File No. 001-35986, filed on May 28, 2024)</w:t>
        </w:r>
      </w:hyperlink>
    </w:p>
    <w:p>
      <w:pPr>
        <w:spacing w:after="0" w:line="11" w:lineRule="exact"/>
        <w:rPr>
          <w:rFonts w:ascii="Times New Roman" w:cs="Times New Roman" w:eastAsia="Times New Roman" w:hAnsi="Times New Roman"/>
          <w:sz w:val="17"/>
          <w:szCs w:val="17"/>
          <w:u w:val="single" w:color="auto"/>
          <w:color w:val="0000FF"/>
        </w:rPr>
      </w:pPr>
    </w:p>
    <w:p>
      <w:pPr>
        <w:ind w:left="1640" w:right="60" w:hanging="894"/>
        <w:spacing w:after="0"/>
        <w:tabs>
          <w:tab w:leader="none" w:pos="162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10.22#</w:t>
        </w:r>
      </w:hyperlink>
      <w:r>
        <w:rPr>
          <w:rFonts w:ascii="Times New Roman" w:cs="Times New Roman" w:eastAsia="Times New Roman" w:hAnsi="Times New Roman"/>
          <w:sz w:val="17"/>
          <w:szCs w:val="17"/>
          <w:u w:val="single" w:color="auto"/>
          <w:color w:val="0000FF"/>
        </w:rPr>
        <w:tab/>
      </w:r>
      <w:hyperlink r:id="rId150">
        <w:r>
          <w:rPr>
            <w:rFonts w:ascii="Times New Roman" w:cs="Times New Roman" w:eastAsia="Times New Roman" w:hAnsi="Times New Roman"/>
            <w:sz w:val="17"/>
            <w:szCs w:val="17"/>
            <w:u w:val="single" w:color="auto"/>
            <w:color w:val="0000FF"/>
          </w:rPr>
          <w:t>Employment Agreement, dated November 16, 2022, by and between the Registrant and Benjamin Halladay (incorporated by reference to</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Exhibit 10.1 to the Registrant's Current Report on Form 8-K, File No. 001-35986, filed on November 16, 2022)</w:t>
        </w:r>
      </w:hyperlink>
    </w:p>
    <w:p>
      <w:pPr>
        <w:spacing w:after="0" w:line="10" w:lineRule="exact"/>
        <w:rPr>
          <w:rFonts w:ascii="Times New Roman" w:cs="Times New Roman" w:eastAsia="Times New Roman" w:hAnsi="Times New Roman"/>
          <w:sz w:val="17"/>
          <w:szCs w:val="17"/>
          <w:u w:val="single" w:color="auto"/>
          <w:color w:val="0000FF"/>
        </w:rPr>
      </w:pPr>
    </w:p>
    <w:p>
      <w:pPr>
        <w:ind w:left="1640" w:right="20" w:hanging="808"/>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10.23</w:t>
        </w:r>
      </w:hyperlink>
      <w:r>
        <w:rPr>
          <w:rFonts w:ascii="Times New Roman" w:cs="Times New Roman" w:eastAsia="Times New Roman" w:hAnsi="Times New Roman"/>
          <w:sz w:val="17"/>
          <w:szCs w:val="17"/>
          <w:u w:val="single" w:color="auto"/>
          <w:color w:val="0000FF"/>
        </w:rPr>
        <w:tab/>
      </w:r>
      <w:hyperlink r:id="rId151">
        <w:r>
          <w:rPr>
            <w:rFonts w:ascii="Times New Roman" w:cs="Times New Roman" w:eastAsia="Times New Roman" w:hAnsi="Times New Roman"/>
            <w:sz w:val="17"/>
            <w:szCs w:val="17"/>
            <w:u w:val="single" w:color="auto"/>
            <w:color w:val="0000FF"/>
          </w:rPr>
          <w:t>Waiver and Amendment No. 3 to Revenue Interest Purchase Agreement and Amendment No. 2 to Security Agreement, by and among the</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Registrant, the purchasers party thereto, and Eiger III SA LLC, as the collateral agent and administrative agent, dated effective as of</w:t>
        </w:r>
      </w:hyperlink>
    </w:p>
    <w:p>
      <w:pPr>
        <w:ind w:left="1640" w:right="240"/>
        <w:spacing w:after="0" w:line="229"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November 23, 2022 (incorporated by reference to Exhibit 10.24 to the Registrant’s Annual Report on Form 10-K, File No. 001-35986,</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filed on February 21, 2023)</w:t>
        </w:r>
      </w:hyperlink>
    </w:p>
    <w:p>
      <w:pPr>
        <w:ind w:left="760"/>
        <w:spacing w:after="0" w:line="224" w:lineRule="auto"/>
        <w:tabs>
          <w:tab w:leader="none" w:pos="1620" w:val="left"/>
        </w:tabs>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10.</w:t>
        </w:r>
      </w:hyperlink>
      <w:r>
        <w:rPr>
          <w:rFonts w:ascii="Times New Roman" w:cs="Times New Roman" w:eastAsia="Times New Roman" w:hAnsi="Times New Roman"/>
          <w:sz w:val="17"/>
          <w:szCs w:val="17"/>
          <w:u w:val="single" w:color="auto"/>
          <w:color w:val="0000FF"/>
        </w:rPr>
        <w:t>24#</w:t>
        <w:tab/>
      </w:r>
      <w:hyperlink r:id="rId152">
        <w:r>
          <w:rPr>
            <w:rFonts w:ascii="Times New Roman" w:cs="Times New Roman" w:eastAsia="Times New Roman" w:hAnsi="Times New Roman"/>
            <w:sz w:val="17"/>
            <w:szCs w:val="17"/>
            <w:u w:val="single" w:color="auto"/>
            <w:color w:val="0000FF"/>
          </w:rPr>
          <w:t>Employment Agreement, dated June 9, 2022, by and between the Registrant and Sheldon Koenig (incorporated by reference to Exhibit</w:t>
        </w:r>
      </w:hyperlink>
    </w:p>
    <w:p>
      <w:pPr>
        <w:ind w:left="1640"/>
        <w:spacing w:after="0"/>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10.1 to the Registrant's Current Report on Form 8-K, File No. 001-35986, filed on June 13, 2022)</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25#</w:t>
            </w:r>
          </w:p>
        </w:tc>
        <w:tc>
          <w:tcPr>
            <w:tcW w:w="420" w:type="dxa"/>
            <w:vAlign w:val="bottom"/>
          </w:tcPr>
          <w:p>
            <w:pPr>
              <w:spacing w:after="0"/>
              <w:rPr>
                <w:sz w:val="17"/>
                <w:szCs w:val="17"/>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Transition Agreement, dated August 3, 2024, by and between the Registrant and JoAnne Foody (incorporated by reference to Exhibit 10.1</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to the Registrant's Current Report on Form 8-K, File No. 001-35986, filed on August 5,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26#</w:t>
              </w:r>
            </w:hyperlink>
          </w:p>
        </w:tc>
        <w:tc>
          <w:tcPr>
            <w:tcW w:w="420" w:type="dxa"/>
            <w:vAlign w:val="bottom"/>
          </w:tcPr>
          <w:p>
            <w:pPr>
              <w:spacing w:after="0"/>
              <w:rPr>
                <w:sz w:val="20"/>
                <w:szCs w:val="20"/>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Employment Agreement, dated June 9, 2022, by and between the Registrant and JoAnne Foody (incorporated by reference to Exhibit 10.2</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9600" w:type="dxa"/>
            <w:vAlign w:val="bottom"/>
            <w:tcBorders>
              <w:top w:val="single" w:sz="8" w:color="0000FF"/>
            </w:tcBorders>
            <w:gridSpan w:val="31"/>
          </w:tcPr>
          <w:p>
            <w:pPr>
              <w:spacing w:after="0" w:line="128"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to the Registrant's Current Report on Form 8-K, File No. 001-35986, filed on June 13, 2022)</w:t>
              </w:r>
            </w:hyperlink>
          </w:p>
        </w:tc>
        <w:tc>
          <w:tcPr>
            <w:tcW w:w="2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27#</w:t>
              </w:r>
            </w:hyperlink>
          </w:p>
        </w:tc>
        <w:tc>
          <w:tcPr>
            <w:tcW w:w="420" w:type="dxa"/>
            <w:vAlign w:val="bottom"/>
          </w:tcPr>
          <w:p>
            <w:pPr>
              <w:spacing w:after="0"/>
              <w:rPr>
                <w:sz w:val="18"/>
                <w:szCs w:val="18"/>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Employment Agreement, dated June 9, 2022, by and between the Registrant and Eric Warren (incorporated by reference to Exhibit 10.3 to</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8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the Registrant's Current Report on Form 8-K, File No. 001-35986, filed on June 13, 2022)</w:t>
              </w:r>
            </w:hyperlink>
          </w:p>
        </w:tc>
        <w:tc>
          <w:tcPr>
            <w:tcW w:w="40" w:type="dxa"/>
            <w:vAlign w:val="bottom"/>
            <w:gridSpan w:val="2"/>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28#</w:t>
              </w:r>
            </w:hyperlink>
          </w:p>
        </w:tc>
        <w:tc>
          <w:tcPr>
            <w:tcW w:w="420" w:type="dxa"/>
            <w:vAlign w:val="bottom"/>
          </w:tcPr>
          <w:p>
            <w:pPr>
              <w:spacing w:after="0"/>
              <w:rPr>
                <w:sz w:val="20"/>
                <w:szCs w:val="20"/>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Employment Agreement, dated June 9, 2022, by and between the Registrant and Benjamin Looker (incorporated by reference to Exhibit</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6740" w:type="dxa"/>
            <w:vAlign w:val="bottom"/>
            <w:tcBorders>
              <w:top w:val="single" w:sz="8" w:color="0000FF"/>
              <w:bottom w:val="single" w:sz="8" w:color="0000FF"/>
            </w:tcBorders>
            <w:gridSpan w:val="15"/>
          </w:tcPr>
          <w:p>
            <w:pPr>
              <w:spacing w:after="0" w:line="128"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to the Registrant's Current Report on Form 8-K, File No. 001-35986, filed on June 13, 2022)</w:t>
              </w:r>
            </w:hyperlink>
          </w:p>
        </w:tc>
        <w:tc>
          <w:tcPr>
            <w:tcW w:w="266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1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29#</w:t>
            </w:r>
          </w:p>
        </w:tc>
        <w:tc>
          <w:tcPr>
            <w:tcW w:w="420" w:type="dxa"/>
            <w:vAlign w:val="bottom"/>
          </w:tcPr>
          <w:p>
            <w:pPr>
              <w:spacing w:after="0"/>
              <w:rPr>
                <w:sz w:val="18"/>
                <w:szCs w:val="18"/>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Second Amendment to 2017 Inducement Equity Plan (incorporated by reference to Exhibit 99.3 to the Registrant’s Registration Statement</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6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on Form S-8, File No. 333-274183, filed on August 24, 2023)</w:t>
              </w:r>
            </w:hyperlink>
          </w:p>
        </w:tc>
        <w:tc>
          <w:tcPr>
            <w:tcW w:w="60" w:type="dxa"/>
            <w:vAlign w:val="bottom"/>
            <w:gridSpan w:val="3"/>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3"/>
        </w:trPr>
        <w:tc>
          <w:tcPr>
            <w:tcW w:w="260" w:type="dxa"/>
            <w:vAlign w:val="bottom"/>
          </w:tcPr>
          <w:p>
            <w:pPr>
              <w:spacing w:after="0"/>
              <w:rPr>
                <w:sz w:val="18"/>
                <w:szCs w:val="18"/>
                <w:color w:val="auto"/>
              </w:rPr>
            </w:pPr>
          </w:p>
        </w:tc>
        <w:tc>
          <w:tcPr>
            <w:tcW w:w="980" w:type="dxa"/>
            <w:vAlign w:val="bottom"/>
            <w:gridSpan w:val="5"/>
          </w:tcPr>
          <w:p>
            <w:pPr>
              <w:jc w:val="right"/>
              <w:ind w:right="420"/>
              <w:spacing w:after="0"/>
              <w:rPr>
                <w:rFonts w:ascii="Times New Roman" w:cs="Times New Roman" w:eastAsia="Times New Roman" w:hAnsi="Times New Roman"/>
                <w:sz w:val="17"/>
                <w:szCs w:val="17"/>
                <w:color w:val="0000FF"/>
                <w:w w:val="97"/>
              </w:rPr>
            </w:pPr>
            <w:hyperlink r:id="rId159">
              <w:r>
                <w:rPr>
                  <w:rFonts w:ascii="Times New Roman" w:cs="Times New Roman" w:eastAsia="Times New Roman" w:hAnsi="Times New Roman"/>
                  <w:sz w:val="17"/>
                  <w:szCs w:val="17"/>
                  <w:color w:val="0000FF"/>
                  <w:w w:val="97"/>
                </w:rPr>
                <w:t>10.</w:t>
              </w:r>
              <w:r>
                <w:rPr>
                  <w:rFonts w:ascii="Times New Roman" w:cs="Times New Roman" w:eastAsia="Times New Roman" w:hAnsi="Times New Roman"/>
                  <w:sz w:val="17"/>
                  <w:szCs w:val="17"/>
                  <w:u w:val="single" w:color="auto"/>
                  <w:color w:val="0000FF"/>
                  <w:w w:val="97"/>
                </w:rPr>
                <w:t>30†*</w:t>
              </w:r>
            </w:hyperlink>
          </w:p>
        </w:tc>
        <w:tc>
          <w:tcPr>
            <w:tcW w:w="9620" w:type="dxa"/>
            <w:vAlign w:val="bottom"/>
            <w:gridSpan w:val="32"/>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Royalty Purchase Agreement, dated as of June 24, 2024, by and between the Registrant and OCM IP Healthcare Portfolio LP</w:t>
              </w:r>
            </w:hyperlink>
          </w:p>
        </w:tc>
      </w:tr>
      <w:tr>
        <w:trPr>
          <w:trHeight w:val="148"/>
        </w:trPr>
        <w:tc>
          <w:tcPr>
            <w:tcW w:w="26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86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(incorporated by reference to Exhibit 10.1 to the Registrant’s Quarterly Report on Form 10-Q, File No. 001-35986, filed on</w:t>
              </w:r>
            </w:hyperlink>
          </w:p>
        </w:tc>
        <w:tc>
          <w:tcPr>
            <w:tcW w:w="980" w:type="dxa"/>
            <w:vAlign w:val="bottom"/>
            <w:gridSpan w:val="16"/>
          </w:tcPr>
          <w:p>
            <w:pPr>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August 12,</w:t>
              </w:r>
            </w:hyperlink>
          </w:p>
        </w:tc>
      </w:tr>
      <w:tr>
        <w:trPr>
          <w:trHeight w:val="16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2024)</w:t>
              </w:r>
            </w:hyperlink>
          </w:p>
        </w:tc>
        <w:tc>
          <w:tcPr>
            <w:tcW w:w="7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31*</w:t>
              </w:r>
            </w:hyperlink>
          </w:p>
        </w:tc>
        <w:tc>
          <w:tcPr>
            <w:tcW w:w="420" w:type="dxa"/>
            <w:vAlign w:val="bottom"/>
          </w:tcPr>
          <w:p>
            <w:pPr>
              <w:spacing w:after="0"/>
              <w:rPr>
                <w:sz w:val="17"/>
                <w:szCs w:val="17"/>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Confidential Settlement Agreement and Release, dated as of January 2, 2024, between the Registrant and Daiichi Sankyo Europe GmbH</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420" w:type="dxa"/>
            <w:vAlign w:val="bottom"/>
            <w:tcBorders>
              <w:top w:val="single" w:sz="8" w:color="0000FF"/>
              <w:bottom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(incorporated by reference to Exhibit 10.1 to the Registrant’s Quarterly Report on Form 10-Q, File No. 001-35986, filed on May 7, 2024)</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1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32*</w:t>
              </w:r>
            </w:hyperlink>
          </w:p>
        </w:tc>
        <w:tc>
          <w:tcPr>
            <w:tcW w:w="420" w:type="dxa"/>
            <w:vAlign w:val="bottom"/>
          </w:tcPr>
          <w:p>
            <w:pPr>
              <w:spacing w:after="0"/>
              <w:rPr>
                <w:sz w:val="18"/>
                <w:szCs w:val="18"/>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3rd Amendment to the License and Collaboration Agreement by and between the Registrant and Daiichi Sankyo Europe GMBH dated</w:t>
              </w:r>
            </w:hyperlink>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20" w:type="dxa"/>
            <w:vAlign w:val="bottom"/>
            <w:gridSpan w:val="32"/>
          </w:tcPr>
          <w:p>
            <w:pPr>
              <w:spacing w:after="0" w:line="128"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January 2, 2024 (incorporated by reference to Exhibit 10.2 to the Registrant’s Quarterly Report on Form 10-Q, File No. 001-35986, filed</w:t>
              </w:r>
            </w:hyperlink>
          </w:p>
        </w:tc>
      </w:tr>
      <w:tr>
        <w:trPr>
          <w:trHeight w:val="16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on May 7, 2024)</w:t>
              </w:r>
            </w:hyperlink>
          </w:p>
        </w:tc>
        <w:tc>
          <w:tcPr>
            <w:tcW w:w="8300" w:type="dxa"/>
            <w:vAlign w:val="bottom"/>
            <w:tcBorders>
              <w:top w:val="single" w:sz="8" w:color="0000FF"/>
            </w:tcBorders>
            <w:gridSpan w:val="2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0"/>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33*</w:t>
              </w:r>
            </w:hyperlink>
          </w:p>
        </w:tc>
        <w:tc>
          <w:tcPr>
            <w:tcW w:w="420" w:type="dxa"/>
            <w:vAlign w:val="bottom"/>
          </w:tcPr>
          <w:p>
            <w:pPr>
              <w:spacing w:after="0"/>
              <w:rPr>
                <w:sz w:val="17"/>
                <w:szCs w:val="17"/>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1st Amendment to License and Collaboration Agreement, by and between the Registrant and Daiichi Sankyo Company, Limited dated</w:t>
              </w:r>
            </w:hyperlink>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20" w:type="dxa"/>
            <w:vAlign w:val="bottom"/>
            <w:gridSpan w:val="32"/>
          </w:tcPr>
          <w:p>
            <w:pPr>
              <w:spacing w:after="0" w:line="14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January 2, 2024 (incorporated by reference to Exhibit 10.3 to the Registrant’s Quarterly Report on Form 10-Q, File No. 001-35986, filed</w:t>
              </w:r>
            </w:hyperlink>
          </w:p>
        </w:tc>
      </w:tr>
      <w:tr>
        <w:trPr>
          <w:trHeight w:val="16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on May 7, 2024)</w:t>
              </w:r>
            </w:hyperlink>
          </w:p>
        </w:tc>
        <w:tc>
          <w:tcPr>
            <w:tcW w:w="8300" w:type="dxa"/>
            <w:vAlign w:val="bottom"/>
            <w:tcBorders>
              <w:top w:val="single" w:sz="8" w:color="0000FF"/>
            </w:tcBorders>
            <w:gridSpan w:val="2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0"/>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34</w:t>
              </w:r>
            </w:hyperlink>
          </w:p>
        </w:tc>
        <w:tc>
          <w:tcPr>
            <w:tcW w:w="420" w:type="dxa"/>
            <w:vAlign w:val="bottom"/>
          </w:tcPr>
          <w:p>
            <w:pPr>
              <w:spacing w:after="0"/>
              <w:rPr>
                <w:sz w:val="17"/>
                <w:szCs w:val="17"/>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Credit Agreement, dated as of December 13, 2024, by and among the Registrant, GLAS USA LLC, as administrative agent, and the</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10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lenders party thereto (incorporated by reference to Exhibit 10.1 to the Registrant’s Current Report on Form 8-K, File No. 001-35986,</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13"/>
          </w:tcPr>
          <w:p>
            <w:pPr>
              <w:ind w:left="20"/>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filed</w:t>
              </w:r>
            </w:hyperlink>
          </w:p>
        </w:tc>
      </w:tr>
      <w:tr>
        <w:trPr>
          <w:trHeight w:val="161"/>
        </w:trPr>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on December 13, 2024)</w:t>
              </w:r>
            </w:hyperlink>
          </w:p>
        </w:tc>
        <w:tc>
          <w:tcPr>
            <w:tcW w:w="788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0"/>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19.</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7"/>
                <w:szCs w:val="17"/>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Esperion Therapeutics, Inc. Insider Trading Policy</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360" w:type="dxa"/>
            <w:vAlign w:val="bottom"/>
            <w:gridSpan w:val="2"/>
          </w:tcPr>
          <w:p>
            <w:pPr>
              <w:spacing w:after="0"/>
              <w:rPr>
                <w:sz w:val="17"/>
                <w:szCs w:val="17"/>
                <w:color w:val="auto"/>
              </w:rPr>
            </w:pPr>
          </w:p>
        </w:tc>
        <w:tc>
          <w:tcPr>
            <w:tcW w:w="460" w:type="dxa"/>
            <w:vAlign w:val="bottom"/>
            <w:gridSpan w:val="3"/>
          </w:tcPr>
          <w:p>
            <w:pPr>
              <w:jc w:val="right"/>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97.</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17"/>
                <w:szCs w:val="17"/>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Esperion Therapeutics, Inc. Compensation Recovery Policy (incorporated by reference to Exhibit 97.1 to the Registrant’s Annual Report</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on Form 10-K, File No. 001-35986, filed on February 27, 2024)</w:t>
              </w:r>
            </w:hyperlink>
          </w:p>
        </w:tc>
        <w:tc>
          <w:tcPr>
            <w:tcW w:w="5020" w:type="dxa"/>
            <w:vAlign w:val="bottom"/>
            <w:tcBorders>
              <w:top w:val="single" w:sz="8" w:color="0000FF"/>
            </w:tcBorders>
            <w:gridSpan w:val="15"/>
          </w:tcPr>
          <w:p>
            <w:pPr>
              <w:spacing w:after="0"/>
              <w:rPr>
                <w:sz w:val="12"/>
                <w:szCs w:val="12"/>
                <w:color w:val="auto"/>
              </w:rPr>
            </w:pPr>
          </w:p>
        </w:tc>
        <w:tc>
          <w:tcPr>
            <w:tcW w:w="180" w:type="dxa"/>
            <w:vAlign w:val="bottom"/>
            <w:gridSpan w:val="8"/>
          </w:tcPr>
          <w:p>
            <w:pPr>
              <w:spacing w:after="0"/>
              <w:rPr>
                <w:sz w:val="12"/>
                <w:szCs w:val="12"/>
                <w:color w:val="auto"/>
              </w:rPr>
            </w:pPr>
          </w:p>
        </w:tc>
      </w:tr>
      <w:tr>
        <w:trPr>
          <w:trHeight w:val="233"/>
        </w:trPr>
        <w:tc>
          <w:tcPr>
            <w:tcW w:w="820" w:type="dxa"/>
            <w:vAlign w:val="bottom"/>
            <w:gridSpan w:val="5"/>
          </w:tcPr>
          <w:p>
            <w:pPr>
              <w:jc w:val="right"/>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21.</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20"/>
                <w:szCs w:val="20"/>
                <w:color w:val="auto"/>
              </w:rPr>
            </w:pPr>
          </w:p>
        </w:tc>
        <w:tc>
          <w:tcPr>
            <w:tcW w:w="9620" w:type="dxa"/>
            <w:vAlign w:val="bottom"/>
            <w:gridSpan w:val="32"/>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Subsidiaries of the Registrant (incorporated by reference to Exhibit 21.1 to the Registrant’s Registration Statement on Form S-1, File</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2820" w:type="dxa"/>
            <w:vAlign w:val="bottom"/>
            <w:tcBorders>
              <w:top w:val="single" w:sz="8" w:color="0000FF"/>
              <w:bottom w:val="single" w:sz="8" w:color="0000FF"/>
            </w:tcBorders>
            <w:gridSpan w:val="5"/>
          </w:tcPr>
          <w:p>
            <w:pPr>
              <w:spacing w:after="0" w:line="128"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No. 333-188595, filed on May 14, 2013)</w:t>
              </w:r>
            </w:hyperlink>
          </w:p>
        </w:tc>
        <w:tc>
          <w:tcPr>
            <w:tcW w:w="6340" w:type="dxa"/>
            <w:vAlign w:val="bottom"/>
            <w:tcBorders>
              <w:top w:val="single" w:sz="8" w:color="0000FF"/>
            </w:tcBorders>
            <w:gridSpan w:val="13"/>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12"/>
          </w:tcPr>
          <w:p>
            <w:pPr>
              <w:spacing w:after="0"/>
              <w:rPr>
                <w:sz w:val="11"/>
                <w:szCs w:val="11"/>
                <w:color w:val="auto"/>
              </w:rPr>
            </w:pPr>
          </w:p>
        </w:tc>
      </w:tr>
      <w:tr>
        <w:trPr>
          <w:trHeight w:val="21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8"/>
                <w:szCs w:val="18"/>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Consent of Ernst &amp; Young LLP</w:t>
            </w:r>
          </w:p>
        </w:tc>
      </w:tr>
      <w:tr>
        <w:trPr>
          <w:trHeight w:val="20"/>
        </w:trPr>
        <w:tc>
          <w:tcPr>
            <w:tcW w:w="360" w:type="dxa"/>
            <w:vAlign w:val="bottom"/>
            <w:gridSpan w:val="2"/>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200"/>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7"/>
                <w:szCs w:val="17"/>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13a-14(a) and Rule 15d-14(a) of the Securities Exchange Act of 1934, as</w:t>
            </w: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11"/>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80" w:type="dxa"/>
            <w:vAlign w:val="bottom"/>
            <w:tcBorders>
              <w:top w:val="single" w:sz="8" w:color="0000FF"/>
            </w:tcBorders>
            <w:gridSpan w:val="9"/>
          </w:tcPr>
          <w:p>
            <w:pPr>
              <w:spacing w:after="0"/>
              <w:rPr>
                <w:sz w:val="12"/>
                <w:szCs w:val="12"/>
                <w:color w:val="auto"/>
              </w:rPr>
            </w:pPr>
          </w:p>
        </w:tc>
        <w:tc>
          <w:tcPr>
            <w:tcW w:w="340" w:type="dxa"/>
            <w:vAlign w:val="bottom"/>
            <w:gridSpan w:val="12"/>
          </w:tcPr>
          <w:p>
            <w:pPr>
              <w:spacing w:after="0"/>
              <w:rPr>
                <w:sz w:val="12"/>
                <w:szCs w:val="12"/>
                <w:color w:val="auto"/>
              </w:rPr>
            </w:pPr>
          </w:p>
        </w:tc>
      </w:tr>
      <w:tr>
        <w:trPr>
          <w:trHeight w:val="21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420" w:type="dxa"/>
            <w:vAlign w:val="bottom"/>
          </w:tcPr>
          <w:p>
            <w:pPr>
              <w:spacing w:after="0"/>
              <w:rPr>
                <w:sz w:val="18"/>
                <w:szCs w:val="18"/>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13a-14(a) and Rule 15d-14(a) of the Securities Exchange Act of 1934, as</w:t>
            </w: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10"/>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20" w:type="dxa"/>
            <w:vAlign w:val="bottom"/>
            <w:tcBorders>
              <w:top w:val="single" w:sz="8" w:color="0000FF"/>
            </w:tcBorders>
            <w:gridSpan w:val="9"/>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12"/>
          </w:tcPr>
          <w:p>
            <w:pPr>
              <w:spacing w:after="0"/>
              <w:rPr>
                <w:sz w:val="12"/>
                <w:szCs w:val="12"/>
                <w:color w:val="auto"/>
              </w:rPr>
            </w:pPr>
          </w:p>
        </w:tc>
      </w:tr>
      <w:tr>
        <w:trPr>
          <w:trHeight w:val="23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20"/>
                <w:szCs w:val="20"/>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and Principal Financial Officer pursuant to 18 U.S.C. Section 1350, as adopted pursuant to</w:t>
            </w:r>
          </w:p>
        </w:tc>
      </w:tr>
      <w:tr>
        <w:trPr>
          <w:trHeight w:val="128"/>
        </w:trPr>
        <w:tc>
          <w:tcPr>
            <w:tcW w:w="26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3280" w:type="dxa"/>
            <w:vAlign w:val="bottom"/>
            <w:tcBorders>
              <w:top w:val="single" w:sz="8" w:color="0000FF"/>
              <w:bottom w:val="single" w:sz="8" w:color="0000FF"/>
            </w:tcBorders>
            <w:gridSpan w:val="6"/>
          </w:tcPr>
          <w:p>
            <w:pPr>
              <w:spacing w:after="0" w:line="128"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6000" w:type="dxa"/>
            <w:vAlign w:val="bottom"/>
            <w:tcBorders>
              <w:top w:val="single" w:sz="8" w:color="0000FF"/>
            </w:tcBorders>
            <w:gridSpan w:val="14"/>
          </w:tcPr>
          <w:p>
            <w:pPr>
              <w:spacing w:after="0"/>
              <w:rPr>
                <w:sz w:val="11"/>
                <w:szCs w:val="11"/>
                <w:color w:val="auto"/>
              </w:rPr>
            </w:pPr>
          </w:p>
        </w:tc>
        <w:tc>
          <w:tcPr>
            <w:tcW w:w="340" w:type="dxa"/>
            <w:vAlign w:val="bottom"/>
            <w:gridSpan w:val="12"/>
          </w:tcPr>
          <w:p>
            <w:pPr>
              <w:spacing w:after="0"/>
              <w:rPr>
                <w:sz w:val="11"/>
                <w:szCs w:val="11"/>
                <w:color w:val="auto"/>
              </w:rPr>
            </w:pPr>
          </w:p>
        </w:tc>
      </w:tr>
      <w:tr>
        <w:trPr>
          <w:trHeight w:val="248"/>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rPr>
              <w:t>101.SCH**</w:t>
            </w: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w w:val="99"/>
              </w:rPr>
              <w:t>101.CAL**</w:t>
            </w: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w w:val="99"/>
              </w:rPr>
              <w:t>101.LAB**</w:t>
            </w: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rPr>
              <w:t>101.PRE**</w:t>
            </w: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0"/>
        </w:trPr>
        <w:tc>
          <w:tcPr>
            <w:tcW w:w="12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color w:val="auto"/>
              </w:rPr>
              <w:t>101.DEF**</w:t>
            </w: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23"/>
        </w:trPr>
        <w:tc>
          <w:tcPr>
            <w:tcW w:w="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420" w:type="dxa"/>
            <w:vAlign w:val="bottom"/>
          </w:tcPr>
          <w:p>
            <w:pPr>
              <w:spacing w:after="0"/>
              <w:rPr>
                <w:sz w:val="19"/>
                <w:szCs w:val="19"/>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28" w:lineRule="exact"/>
        <w:rPr>
          <w:sz w:val="20"/>
          <w:szCs w:val="20"/>
          <w:color w:val="auto"/>
        </w:rPr>
      </w:pPr>
    </w:p>
    <w:p>
      <w:pPr>
        <w:ind w:left="640" w:hanging="637"/>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46" w:lineRule="exact"/>
        <w:rPr>
          <w:sz w:val="20"/>
          <w:szCs w:val="20"/>
          <w:color w:val="auto"/>
        </w:rPr>
      </w:pPr>
    </w:p>
    <w:p>
      <w:pPr>
        <w:ind w:left="640" w:hanging="637"/>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the rules of the Securities and Exchange Commission.</w:t>
      </w:r>
    </w:p>
    <w:p>
      <w:pPr>
        <w:spacing w:after="0" w:line="102" w:lineRule="exact"/>
        <w:rPr>
          <w:sz w:val="20"/>
          <w:szCs w:val="20"/>
          <w:color w:val="auto"/>
        </w:rPr>
      </w:pPr>
    </w:p>
    <w:p>
      <w:pPr>
        <w:ind w:firstLine="3"/>
        <w:spacing w:after="0" w:line="272" w:lineRule="auto"/>
        <w:tabs>
          <w:tab w:leader="none" w:pos="40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Annexes, schedules and/or exhibits have been omitted pursuant to Item 601(a)(5) of Regulation S-K. The Registrant agrees to furnish supplementally a copy of any omitted attachment to the SEC on a confidential basis upon request.</w:t>
      </w:r>
    </w:p>
    <w:p>
      <w:pPr>
        <w:spacing w:after="0" w:line="61" w:lineRule="exact"/>
        <w:rPr>
          <w:sz w:val="20"/>
          <w:szCs w:val="20"/>
          <w:color w:val="auto"/>
        </w:rPr>
      </w:pPr>
    </w:p>
    <w:p>
      <w:pPr>
        <w:ind w:left="640" w:hanging="637"/>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28" w:lineRule="exact"/>
        <w:rPr>
          <w:sz w:val="20"/>
          <w:szCs w:val="20"/>
          <w:color w:val="auto"/>
        </w:rPr>
      </w:pPr>
    </w:p>
    <w:p>
      <w:pPr>
        <w:ind w:right="540" w:firstLine="3"/>
        <w:spacing w:after="0" w:line="288" w:lineRule="auto"/>
        <w:tabs>
          <w:tab w:leader="none" w:pos="58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32.1 hereto are deemed to accompany this Annual Report on Form 10-K and will not be deemed “filed” for purposes of Section 18 of the Securities Exchange Act of 1934, as amended. Such certifications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7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00"/>
          </w:cols>
          <w:pgMar w:left="320" w:top="123" w:right="7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Form 10-K to be signed on its behalf by the undersigned, thereunto duly authorized.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March 7, 2025</w:t>
            </w:r>
          </w:p>
        </w:tc>
      </w:tr>
      <w:tr>
        <w:trPr>
          <w:trHeight w:val="47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SHELDON L. KOENIG</w:t>
            </w:r>
          </w:p>
        </w:tc>
      </w:tr>
      <w:tr>
        <w:trPr>
          <w:trHeight w:val="205"/>
        </w:trPr>
        <w:tc>
          <w:tcPr>
            <w:tcW w:w="60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Sheldon L. Koenig</w:t>
            </w:r>
          </w:p>
        </w:tc>
      </w:tr>
      <w:tr>
        <w:trPr>
          <w:trHeight w:val="220"/>
        </w:trPr>
        <w:tc>
          <w:tcPr>
            <w:tcW w:w="6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7"/>
        </w:trPr>
        <w:tc>
          <w:tcPr>
            <w:tcW w:w="6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7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by the following persons in the capacities indicated below and on the dates indicated:</w:t>
      </w:r>
    </w:p>
    <w:p>
      <w:pPr>
        <w:sectPr>
          <w:pgSz w:w="11900" w:h="16838" w:orient="portrait"/>
          <w:cols w:equalWidth="0" w:num="1">
            <w:col w:w="11200"/>
          </w:cols>
          <w:pgMar w:left="320" w:top="123" w:right="379" w:bottom="1440" w:gutter="0" w:footer="0" w:header="0"/>
        </w:sectPr>
      </w:pPr>
    </w:p>
    <w:p>
      <w:pPr>
        <w:spacing w:after="0" w:line="1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2510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18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Sheldon L. Koenig</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Benjamin Halladay</w:t>
      </w:r>
    </w:p>
    <w:p>
      <w:pPr>
        <w:spacing w:after="0" w:line="21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J. MARTIN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J. Martin Carroll</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SETH H.Z.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Seth H.Z. Fischer</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Alan Fuhrman</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ANTONIO M. GOTTO, M.D., D.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Antonio M. Gotto, M.D., D. Phil</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STEPHEN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Stephen Rocamboli</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JAY SHEPARD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Jay Shepard</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NICOLE VITULLO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Nicole Vitullo</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TRACY M. WOODY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Tracy M. Woody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2969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189" w:lineRule="exact"/>
        <w:rPr>
          <w:sz w:val="20"/>
          <w:szCs w:val="20"/>
          <w:color w:val="auto"/>
        </w:rPr>
      </w:pPr>
    </w:p>
    <w:p>
      <w:pPr>
        <w:ind w:right="1440"/>
        <w:spacing w:after="0" w:line="351" w:lineRule="auto"/>
        <w:rPr>
          <w:sz w:val="20"/>
          <w:szCs w:val="20"/>
          <w:color w:val="auto"/>
        </w:rPr>
      </w:pPr>
      <w:r>
        <w:rPr>
          <w:rFonts w:ascii="Times New Roman" w:cs="Times New Roman" w:eastAsia="Times New Roman" w:hAnsi="Times New Roman"/>
          <w:sz w:val="17"/>
          <w:szCs w:val="17"/>
          <w:color w:val="auto"/>
        </w:rPr>
        <w:t>President, Chief Executive Officer and Director (Principal Executive Officer)</w:t>
      </w:r>
    </w:p>
    <w:p>
      <w:pPr>
        <w:spacing w:after="0" w:line="100" w:lineRule="exact"/>
        <w:rPr>
          <w:sz w:val="20"/>
          <w:szCs w:val="20"/>
          <w:color w:val="auto"/>
        </w:rPr>
      </w:pPr>
    </w:p>
    <w:p>
      <w:pPr>
        <w:ind w:right="1180"/>
        <w:spacing w:after="0" w:line="351" w:lineRule="auto"/>
        <w:rPr>
          <w:sz w:val="20"/>
          <w:szCs w:val="20"/>
          <w:color w:val="auto"/>
        </w:rPr>
      </w:pPr>
      <w:r>
        <w:rPr>
          <w:rFonts w:ascii="Times New Roman" w:cs="Times New Roman" w:eastAsia="Times New Roman" w:hAnsi="Times New Roman"/>
          <w:sz w:val="17"/>
          <w:szCs w:val="17"/>
          <w:color w:val="auto"/>
        </w:rPr>
        <w:t>Chief Financial Officer (Principal Financial Officer and Principal Accounting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27940</wp:posOffset>
            </wp:positionV>
            <wp:extent cx="1165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471" w:lineRule="exact"/>
        <w:rPr>
          <w:sz w:val="20"/>
          <w:szCs w:val="20"/>
          <w:color w:val="auto"/>
        </w:rPr>
      </w:pPr>
    </w:p>
    <w:p>
      <w:pPr>
        <w:sectPr>
          <w:pgSz w:w="11900" w:h="16838" w:orient="portrait"/>
          <w:cols w:equalWidth="0" w:num="3">
            <w:col w:w="3640" w:space="720"/>
            <w:col w:w="4720" w:space="720"/>
            <w:col w:w="1400"/>
          </w:cols>
          <w:pgMar w:left="320" w:top="123" w:right="37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4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7000" w:type="dxa"/>
            <w:vAlign w:val="bottom"/>
          </w:tcPr>
          <w:p>
            <w:pPr>
              <w:spacing w:after="0"/>
              <w:rPr>
                <w:sz w:val="17"/>
                <w:szCs w:val="17"/>
                <w:color w:val="auto"/>
              </w:rPr>
            </w:pPr>
          </w:p>
        </w:tc>
      </w:tr>
      <w:tr>
        <w:trPr>
          <w:trHeight w:val="942"/>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b w:val="1"/>
                <w:bCs w:val="1"/>
                <w:color w:val="auto"/>
              </w:rPr>
              <w:t>Esperion Therapeutics, Inc.</w:t>
            </w:r>
          </w:p>
        </w:tc>
      </w:tr>
      <w:tr>
        <w:trPr>
          <w:trHeight w:val="227"/>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b w:val="1"/>
                <w:bCs w:val="1"/>
                <w:color w:val="auto"/>
              </w:rPr>
              <w:t>Index to the Financial Statements</w:t>
            </w:r>
          </w:p>
        </w:tc>
      </w:tr>
      <w:tr>
        <w:trPr>
          <w:trHeight w:val="413"/>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34"/>
              <w:spacing w:after="0"/>
              <w:rPr>
                <w:sz w:val="20"/>
                <w:szCs w:val="20"/>
                <w:color w:val="auto"/>
              </w:rPr>
            </w:pPr>
            <w:r>
              <w:rPr>
                <w:rFonts w:ascii="Times New Roman" w:cs="Times New Roman" w:eastAsia="Times New Roman" w:hAnsi="Times New Roman"/>
                <w:sz w:val="17"/>
                <w:szCs w:val="17"/>
                <w:b w:val="1"/>
                <w:bCs w:val="1"/>
                <w:color w:val="auto"/>
              </w:rPr>
              <w:t>Contents</w:t>
            </w:r>
          </w:p>
        </w:tc>
      </w:tr>
      <w:tr>
        <w:trPr>
          <w:trHeight w:val="413"/>
        </w:trPr>
        <w:tc>
          <w:tcPr>
            <w:tcW w:w="4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60" w:type="dxa"/>
            <w:vAlign w:val="bottom"/>
          </w:tcPr>
          <w:p>
            <w:pPr>
              <w:spacing w:after="0"/>
              <w:rPr>
                <w:sz w:val="24"/>
                <w:szCs w:val="24"/>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F-2</w:t>
            </w:r>
          </w:p>
        </w:tc>
      </w:tr>
      <w:tr>
        <w:trPr>
          <w:trHeight w:val="235"/>
        </w:trPr>
        <w:tc>
          <w:tcPr>
            <w:tcW w:w="40" w:type="dxa"/>
            <w:vAlign w:val="bottom"/>
          </w:tcPr>
          <w:p>
            <w:pPr>
              <w:spacing w:after="0"/>
              <w:rPr>
                <w:sz w:val="20"/>
                <w:szCs w:val="20"/>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7000" w:type="dxa"/>
            <w:vAlign w:val="bottom"/>
          </w:tcPr>
          <w:p>
            <w:pPr>
              <w:spacing w:after="0"/>
              <w:rPr>
                <w:sz w:val="20"/>
                <w:szCs w:val="20"/>
                <w:color w:val="auto"/>
              </w:rPr>
            </w:pPr>
          </w:p>
        </w:tc>
      </w:tr>
      <w:tr>
        <w:trPr>
          <w:trHeight w:val="184"/>
        </w:trPr>
        <w:tc>
          <w:tcPr>
            <w:tcW w:w="40" w:type="dxa"/>
            <w:vAlign w:val="bottom"/>
          </w:tcPr>
          <w:p>
            <w:pPr>
              <w:spacing w:after="0"/>
              <w:rPr>
                <w:sz w:val="16"/>
                <w:szCs w:val="16"/>
                <w:color w:val="auto"/>
              </w:rPr>
            </w:pPr>
          </w:p>
        </w:tc>
        <w:tc>
          <w:tcPr>
            <w:tcW w:w="4200" w:type="dxa"/>
            <w:vAlign w:val="bottom"/>
            <w:gridSpan w:val="8"/>
          </w:tcPr>
          <w:p>
            <w:pPr>
              <w:spacing w:after="0" w:line="185" w:lineRule="exact"/>
              <w:rPr>
                <w:sz w:val="20"/>
                <w:szCs w:val="20"/>
                <w:color w:val="auto"/>
              </w:rPr>
            </w:pPr>
            <w:r>
              <w:rPr>
                <w:rFonts w:ascii="Times New Roman" w:cs="Times New Roman" w:eastAsia="Times New Roman" w:hAnsi="Times New Roman"/>
                <w:sz w:val="17"/>
                <w:szCs w:val="17"/>
                <w:color w:val="0000FF"/>
              </w:rPr>
              <w:t>Balance Sheets</w:t>
            </w:r>
          </w:p>
        </w:tc>
        <w:tc>
          <w:tcPr>
            <w:tcW w:w="7000" w:type="dxa"/>
            <w:vAlign w:val="bottom"/>
          </w:tcPr>
          <w:p>
            <w:pPr>
              <w:ind w:left="6720"/>
              <w:spacing w:after="0" w:line="185" w:lineRule="exact"/>
              <w:rPr>
                <w:sz w:val="20"/>
                <w:szCs w:val="20"/>
                <w:color w:val="auto"/>
              </w:rPr>
            </w:pPr>
            <w:r>
              <w:rPr>
                <w:rFonts w:ascii="Times New Roman" w:cs="Times New Roman" w:eastAsia="Times New Roman" w:hAnsi="Times New Roman"/>
                <w:sz w:val="17"/>
                <w:szCs w:val="17"/>
                <w:color w:val="auto"/>
              </w:rPr>
              <w:t>F-4</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F-5</w:t>
            </w:r>
          </w:p>
        </w:tc>
      </w:tr>
      <w:tr>
        <w:trPr>
          <w:trHeight w:val="200"/>
        </w:trPr>
        <w:tc>
          <w:tcPr>
            <w:tcW w:w="40" w:type="dxa"/>
            <w:vAlign w:val="bottom"/>
          </w:tcPr>
          <w:p>
            <w:pPr>
              <w:spacing w:after="0"/>
              <w:rPr>
                <w:sz w:val="17"/>
                <w:szCs w:val="17"/>
                <w:color w:val="auto"/>
              </w:rPr>
            </w:pPr>
          </w:p>
        </w:tc>
        <w:tc>
          <w:tcPr>
            <w:tcW w:w="3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Statements of Stockholders’ Deficit</w:t>
            </w:r>
          </w:p>
        </w:tc>
        <w:tc>
          <w:tcPr>
            <w:tcW w:w="680" w:type="dxa"/>
            <w:vAlign w:val="bottom"/>
            <w:gridSpan w:val="2"/>
          </w:tcPr>
          <w:p>
            <w:pPr>
              <w:spacing w:after="0"/>
              <w:rPr>
                <w:sz w:val="17"/>
                <w:szCs w:val="17"/>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F-6</w:t>
            </w:r>
          </w:p>
        </w:tc>
      </w:tr>
      <w:tr>
        <w:trPr>
          <w:trHeight w:val="200"/>
        </w:trPr>
        <w:tc>
          <w:tcPr>
            <w:tcW w:w="4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660" w:type="dxa"/>
            <w:vAlign w:val="bottom"/>
            <w:tcBorders>
              <w:top w:val="single" w:sz="8" w:color="0000FF"/>
            </w:tcBorders>
            <w:gridSpan w:val="2"/>
          </w:tcPr>
          <w:p>
            <w:pPr>
              <w:spacing w:after="0"/>
              <w:rPr>
                <w:sz w:val="17"/>
                <w:szCs w:val="17"/>
                <w:color w:val="auto"/>
              </w:rPr>
            </w:pPr>
          </w:p>
        </w:tc>
        <w:tc>
          <w:tcPr>
            <w:tcW w:w="1740" w:type="dxa"/>
            <w:vAlign w:val="bottom"/>
            <w:gridSpan w:val="3"/>
          </w:tcPr>
          <w:p>
            <w:pPr>
              <w:spacing w:after="0"/>
              <w:rPr>
                <w:sz w:val="17"/>
                <w:szCs w:val="17"/>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F-7</w:t>
            </w:r>
          </w:p>
        </w:tc>
      </w:tr>
      <w:tr>
        <w:trPr>
          <w:trHeight w:val="200"/>
        </w:trPr>
        <w:tc>
          <w:tcPr>
            <w:tcW w:w="40" w:type="dxa"/>
            <w:vAlign w:val="bottom"/>
          </w:tcPr>
          <w:p>
            <w:pPr>
              <w:spacing w:after="0"/>
              <w:rPr>
                <w:sz w:val="17"/>
                <w:szCs w:val="17"/>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Financial Statements</w:t>
            </w: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F-8</w:t>
            </w:r>
          </w:p>
        </w:tc>
      </w:tr>
      <w:tr>
        <w:trPr>
          <w:trHeight w:val="846"/>
        </w:trPr>
        <w:tc>
          <w:tcPr>
            <w:tcW w:w="4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color w:val="auto"/>
              </w:rPr>
              <w:t>F-1</w:t>
            </w:r>
          </w:p>
        </w:tc>
      </w:tr>
      <w:tr>
        <w:trPr>
          <w:trHeight w:val="109"/>
        </w:trPr>
        <w:tc>
          <w:tcPr>
            <w:tcW w:w="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Esperion Therapeutics,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3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We have audited the accompanying balance sheets of Esperion Therapeutics, Inc. (the Company) as of December 31, 2024 and 2023, the related statements of operations and comprehensive loss, stockholders'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0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and our report dated March 7, 2025 expressed an unqualified opinion</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3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Valuation of the royalty sale liability</w:t>
      </w:r>
    </w:p>
    <w:p>
      <w:pPr>
        <w:spacing w:after="0" w:line="43" w:lineRule="exact"/>
        <w:rPr>
          <w:sz w:val="20"/>
          <w:szCs w:val="20"/>
          <w:color w:val="auto"/>
        </w:rPr>
      </w:pPr>
    </w:p>
    <w:p>
      <w:pPr>
        <w:jc w:val="right"/>
        <w:ind w:left="220"/>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Description of the Matter </w:t>
      </w:r>
      <w:r>
        <w:rPr>
          <w:rFonts w:ascii="Times New Roman" w:cs="Times New Roman" w:eastAsia="Times New Roman" w:hAnsi="Times New Roman"/>
          <w:sz w:val="17"/>
          <w:szCs w:val="17"/>
          <w:color w:val="auto"/>
        </w:rPr>
        <w:t>As described in Notes 1, 2 and 11 to the financial statements, the Company maintains a Royalty Purchase Agreement (“RPA”).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RPA, the Company received a cash payment of $304.7 million on June 27, 2024. The carrying amount of the RPA</w:t>
      </w:r>
    </w:p>
    <w:p>
      <w:pPr>
        <w:ind w:left="2040"/>
        <w:spacing w:after="0"/>
        <w:rPr>
          <w:sz w:val="20"/>
          <w:szCs w:val="20"/>
          <w:color w:val="auto"/>
        </w:rPr>
      </w:pPr>
      <w:r>
        <w:rPr>
          <w:rFonts w:ascii="Times New Roman" w:cs="Times New Roman" w:eastAsia="Times New Roman" w:hAnsi="Times New Roman"/>
          <w:sz w:val="17"/>
          <w:szCs w:val="17"/>
          <w:color w:val="auto"/>
        </w:rPr>
        <w:t>at December 31, 2024, was $293.6 million.</w:t>
      </w:r>
    </w:p>
    <w:p>
      <w:pPr>
        <w:spacing w:after="0" w:line="213" w:lineRule="exact"/>
        <w:rPr>
          <w:sz w:val="20"/>
          <w:szCs w:val="20"/>
          <w:color w:val="auto"/>
        </w:rPr>
      </w:pPr>
    </w:p>
    <w:p>
      <w:pPr>
        <w:ind w:left="2040" w:right="40"/>
        <w:spacing w:after="0" w:line="247" w:lineRule="auto"/>
        <w:rPr>
          <w:sz w:val="20"/>
          <w:szCs w:val="20"/>
          <w:color w:val="auto"/>
        </w:rPr>
      </w:pPr>
      <w:r>
        <w:rPr>
          <w:rFonts w:ascii="Times New Roman" w:cs="Times New Roman" w:eastAsia="Times New Roman" w:hAnsi="Times New Roman"/>
          <w:sz w:val="17"/>
          <w:szCs w:val="17"/>
          <w:color w:val="auto"/>
        </w:rPr>
        <w:t xml:space="preserve">In connection with the RPA, the Company evaluated the arrangement and determined it should be treated as a debt instrument according to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Company imputes interest expense associated with this liability using the effective interest rate method. The effective interest rate is calculated based on the rate that would enable the liability to be repaid in full over the anticipated life of the arrangement. The interest rate on this liability may vary during the term of the RPA depending on a number of factors, including the level of forecasted royalty sales. The Company evaluates the interest rate quarterly based on its expectations of forecasted royalty sales from its license partner, historical experience, third-party forecasts and current market conditions utilizing the prospective method. A significant increase or decrease in future royalty sales could materially impact the royalty sale liability, interest expense and time period for repayment.</w:t>
      </w:r>
    </w:p>
    <w:p>
      <w:pPr>
        <w:spacing w:after="0" w:line="199" w:lineRule="exact"/>
        <w:rPr>
          <w:sz w:val="20"/>
          <w:szCs w:val="20"/>
          <w:color w:val="auto"/>
        </w:rPr>
      </w:pPr>
    </w:p>
    <w:p>
      <w:pPr>
        <w:ind w:left="2040" w:right="540"/>
        <w:spacing w:after="0" w:line="262" w:lineRule="auto"/>
        <w:rPr>
          <w:sz w:val="20"/>
          <w:szCs w:val="20"/>
          <w:color w:val="auto"/>
        </w:rPr>
      </w:pPr>
      <w:r>
        <w:rPr>
          <w:rFonts w:ascii="Times New Roman" w:cs="Times New Roman" w:eastAsia="Times New Roman" w:hAnsi="Times New Roman"/>
          <w:sz w:val="17"/>
          <w:szCs w:val="17"/>
          <w:color w:val="auto"/>
        </w:rPr>
        <w:t>Auditing the royalty sale liability was complex and highly judgmental due to the estimation uncertainty in determining the effective interest rate. The Company’s effective interest rate model includes royalty sales forecasts which are affected by expectations about future market conditions.</w:t>
      </w:r>
    </w:p>
    <w:p>
      <w:pPr>
        <w:spacing w:after="0" w:line="2" w:lineRule="exact"/>
        <w:rPr>
          <w:sz w:val="20"/>
          <w:szCs w:val="20"/>
          <w:color w:val="auto"/>
        </w:rPr>
      </w:pPr>
    </w:p>
    <w:p>
      <w:pPr>
        <w:ind w:left="220"/>
        <w:spacing w:after="0"/>
        <w:tabs>
          <w:tab w:leader="none" w:pos="2020" w:val="left"/>
        </w:tabs>
        <w:rPr>
          <w:sz w:val="20"/>
          <w:szCs w:val="20"/>
          <w:color w:val="auto"/>
        </w:rPr>
      </w:pPr>
      <w:r>
        <w:rPr>
          <w:rFonts w:ascii="Times New Roman" w:cs="Times New Roman" w:eastAsia="Times New Roman" w:hAnsi="Times New Roman"/>
          <w:sz w:val="17"/>
          <w:szCs w:val="17"/>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the accounting for the</w:t>
      </w:r>
    </w:p>
    <w:p>
      <w:pPr>
        <w:spacing w:after="0" w:line="20" w:lineRule="exact"/>
        <w:rPr>
          <w:sz w:val="20"/>
          <w:szCs w:val="20"/>
          <w:color w:val="auto"/>
        </w:rPr>
      </w:pPr>
    </w:p>
    <w:p>
      <w:pPr>
        <w:ind w:left="220"/>
        <w:spacing w:after="0"/>
        <w:tabs>
          <w:tab w:leader="none" w:pos="2020" w:val="left"/>
        </w:tabs>
        <w:rPr>
          <w:sz w:val="20"/>
          <w:szCs w:val="20"/>
          <w:color w:val="auto"/>
        </w:rPr>
      </w:pPr>
      <w:r>
        <w:rPr>
          <w:rFonts w:ascii="Times New Roman" w:cs="Times New Roman" w:eastAsia="Times New Roman" w:hAnsi="Times New Roman"/>
          <w:sz w:val="17"/>
          <w:szCs w:val="17"/>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RPA, including management's review of the underlying data used in the effective interest rate model.</w:t>
      </w:r>
    </w:p>
    <w:p>
      <w:pPr>
        <w:spacing w:after="0" w:line="200" w:lineRule="exact"/>
        <w:rPr>
          <w:sz w:val="20"/>
          <w:szCs w:val="20"/>
          <w:color w:val="auto"/>
        </w:rPr>
      </w:pPr>
    </w:p>
    <w:p>
      <w:pPr>
        <w:ind w:left="2040" w:right="160"/>
        <w:spacing w:after="0" w:line="254" w:lineRule="auto"/>
        <w:rPr>
          <w:sz w:val="20"/>
          <w:szCs w:val="20"/>
          <w:color w:val="auto"/>
        </w:rPr>
      </w:pPr>
      <w:r>
        <w:rPr>
          <w:rFonts w:ascii="Times New Roman" w:cs="Times New Roman" w:eastAsia="Times New Roman" w:hAnsi="Times New Roman"/>
          <w:sz w:val="17"/>
          <w:szCs w:val="17"/>
          <w:color w:val="auto"/>
        </w:rPr>
        <w:t>Our audit procedures included, among others, assessing the methodologies and the underlying data used by the Company in its effective interest rate model. We evaluated the significant assumptions used within the forecasted royalty sales by corroborating to external analyses. We also performed sensitivity analyses to evaluate the changes in the effective interest rate, associated interest expense and the time period for repayment that would result from changes in the assumptions.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Detroit, Michigan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clinical development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operating lease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Convertible notes, net of issuance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clinical development costs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variable consideration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Royalty sale liability</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interest liability</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 from collaborations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Convertible notes, net of issuance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Royalty sale liability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interest liability</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w w:val="98"/>
              </w:rPr>
              <w:t>Preferred stock, $0.001 par value; 5,000,000 shares authorized and no shares issued or outstanding as of December 31, 2024 and</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vMerge w:val="continue"/>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100"/>
              <w:spacing w:after="0" w:line="156" w:lineRule="exact"/>
              <w:rPr>
                <w:sz w:val="20"/>
                <w:szCs w:val="20"/>
                <w:color w:val="auto"/>
              </w:rPr>
            </w:pPr>
            <w:r>
              <w:rPr>
                <w:rFonts w:ascii="Times New Roman" w:cs="Times New Roman" w:eastAsia="Times New Roman" w:hAnsi="Times New Roman"/>
                <w:sz w:val="16"/>
                <w:szCs w:val="16"/>
                <w:color w:val="auto"/>
                <w:w w:val="98"/>
              </w:rPr>
              <w:t>Common stock, $0.001 par value; 480,000,000 shares authorized as of December 31, 2024 and December 31, 2023; 197,846,661</w:t>
            </w:r>
          </w:p>
        </w:tc>
        <w:tc>
          <w:tcPr>
            <w:tcW w:w="2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at December 31, 2024 and 120,204,513 shares issued at December 31, 2023</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1,994,198 shares at December 31, 2024 and December 31, 2023</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(1,601,029)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343,821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spacing w:after="0" w:line="2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3"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57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5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115,725</w:t>
            </w:r>
          </w:p>
        </w:tc>
        <w:tc>
          <w:tcPr>
            <w:tcW w:w="10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78,335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55,863</w:t>
            </w: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Collaboration revenue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19,612</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75,475</w:t>
            </w:r>
          </w:p>
        </w:tc>
      </w:tr>
      <w:tr>
        <w:trPr>
          <w:trHeight w:val="238"/>
        </w:trPr>
        <w:tc>
          <w:tcPr>
            <w:tcW w:w="5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goods sold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26,967</w:t>
            </w:r>
          </w:p>
        </w:tc>
      </w:tr>
      <w:tr>
        <w:trPr>
          <w:trHeight w:val="220"/>
        </w:trPr>
        <w:tc>
          <w:tcPr>
            <w:tcW w:w="5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118,927</w:t>
            </w:r>
          </w:p>
        </w:tc>
      </w:tr>
      <w:tr>
        <w:trPr>
          <w:trHeight w:val="22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109,082</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277,912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254,976</w:t>
            </w:r>
          </w:p>
        </w:tc>
      </w:tr>
      <w:tr>
        <w:trPr>
          <w:trHeight w:val="238"/>
        </w:trPr>
        <w:tc>
          <w:tcPr>
            <w:tcW w:w="5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(179,501)</w:t>
            </w:r>
          </w:p>
        </w:tc>
      </w:tr>
      <w:tr>
        <w:trPr>
          <w:trHeight w:val="258"/>
        </w:trPr>
        <w:tc>
          <w:tcPr>
            <w:tcW w:w="5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0"/>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(56,810)</w:t>
            </w: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 and exchange transaction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w:t>
            </w:r>
          </w:p>
        </w:tc>
      </w:tr>
      <w:tr>
        <w:trPr>
          <w:trHeight w:val="23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(233,659)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33"/>
        </w:trPr>
        <w:tc>
          <w:tcPr>
            <w:tcW w:w="5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187,181,856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103,106,616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66,407,242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gain: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5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(233,630)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40"/>
          </w:cols>
          <w:pgMar w:left="320" w:top="123" w:right="7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Stockholders’ Deficit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7"/>
                <w:szCs w:val="17"/>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7"/>
                <w:szCs w:val="17"/>
                <w:color w:val="auto"/>
              </w:rPr>
            </w:pPr>
          </w:p>
        </w:tc>
        <w:tc>
          <w:tcPr>
            <w:tcW w:w="22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Accumulated</w:t>
            </w: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Treasury</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80" w:type="dxa"/>
            <w:vAlign w:val="bottom"/>
          </w:tcPr>
          <w:p>
            <w:pPr>
              <w:spacing w:after="0"/>
              <w:rPr>
                <w:sz w:val="17"/>
                <w:szCs w:val="17"/>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6"/>
              </w:rPr>
              <w:t>Stockholders'</w:t>
            </w:r>
          </w:p>
        </w:tc>
        <w:tc>
          <w:tcPr>
            <w:tcW w:w="0" w:type="dxa"/>
            <w:vAlign w:val="bottom"/>
          </w:tcPr>
          <w:p>
            <w:pPr>
              <w:spacing w:after="0"/>
              <w:rPr>
                <w:sz w:val="1"/>
                <w:szCs w:val="1"/>
                <w:color w:val="auto"/>
              </w:rPr>
            </w:pPr>
          </w:p>
        </w:tc>
      </w:tr>
      <w:tr>
        <w:trPr>
          <w:trHeight w:val="204"/>
        </w:trPr>
        <w:tc>
          <w:tcPr>
            <w:tcW w:w="2180" w:type="dxa"/>
            <w:vAlign w:val="bottom"/>
          </w:tcPr>
          <w:p>
            <w:pPr>
              <w:spacing w:after="0"/>
              <w:rPr>
                <w:sz w:val="17"/>
                <w:szCs w:val="17"/>
                <w:color w:val="auto"/>
              </w:rPr>
            </w:pPr>
          </w:p>
        </w:tc>
        <w:tc>
          <w:tcPr>
            <w:tcW w:w="120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80" w:type="dxa"/>
            <w:vAlign w:val="bottom"/>
          </w:tcPr>
          <w:p>
            <w:pPr>
              <w:spacing w:after="0"/>
              <w:rPr>
                <w:sz w:val="17"/>
                <w:szCs w:val="17"/>
                <w:color w:val="auto"/>
              </w:rPr>
            </w:pPr>
          </w:p>
        </w:tc>
        <w:tc>
          <w:tcPr>
            <w:tcW w:w="124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201"/>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60,879,496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964,401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(1,106,377)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(196,944)</w:t>
            </w:r>
          </w:p>
        </w:tc>
        <w:tc>
          <w:tcPr>
            <w:tcW w:w="0" w:type="dxa"/>
            <w:vAlign w:val="bottom"/>
          </w:tcPr>
          <w:p>
            <w:pPr>
              <w:spacing w:after="0"/>
              <w:rPr>
                <w:sz w:val="1"/>
                <w:szCs w:val="1"/>
                <w:color w:val="auto"/>
              </w:rPr>
            </w:pP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ATM Program, net of issuance</w:t>
            </w: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13,043,797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90,835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90,848</w:t>
            </w:r>
          </w:p>
        </w:tc>
        <w:tc>
          <w:tcPr>
            <w:tcW w:w="0" w:type="dxa"/>
            <w:vAlign w:val="bottom"/>
          </w:tcPr>
          <w:p>
            <w:pPr>
              <w:spacing w:after="0"/>
              <w:rPr>
                <w:sz w:val="1"/>
                <w:szCs w:val="1"/>
                <w:color w:val="auto"/>
              </w:rPr>
            </w:pPr>
          </w:p>
        </w:tc>
      </w:tr>
      <w:tr>
        <w:trPr>
          <w:trHeight w:val="20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440,697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ESPP Shares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206,208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w:t>
            </w:r>
          </w:p>
        </w:tc>
        <w:tc>
          <w:tcPr>
            <w:tcW w:w="0" w:type="dxa"/>
            <w:vAlign w:val="bottom"/>
          </w:tcPr>
          <w:p>
            <w:pPr>
              <w:spacing w:after="0"/>
              <w:rPr>
                <w:sz w:val="1"/>
                <w:szCs w:val="1"/>
                <w:color w:val="auto"/>
              </w:rPr>
            </w:pP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(233,659)</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(233,659)</w:t>
            </w:r>
          </w:p>
        </w:tc>
        <w:tc>
          <w:tcPr>
            <w:tcW w:w="0" w:type="dxa"/>
            <w:vAlign w:val="bottom"/>
          </w:tcPr>
          <w:p>
            <w:pPr>
              <w:spacing w:after="0"/>
              <w:rPr>
                <w:sz w:val="1"/>
                <w:szCs w:val="1"/>
                <w:color w:val="auto"/>
              </w:rPr>
            </w:pPr>
          </w:p>
        </w:tc>
      </w:tr>
      <w:tr>
        <w:trPr>
          <w:trHeight w:val="197"/>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74,570,198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1,071,183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(1,340,036)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(323,778)</w:t>
            </w: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rPr>
              <w:t>Issuance of common stock,</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warrants, and pre-funded</w:t>
            </w: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12,205,000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52,416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52,428</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 net of issuance costs</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18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ATM Program, net of issuance</w:t>
            </w: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3,312,908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0" w:type="dxa"/>
            <w:vAlign w:val="bottom"/>
          </w:tcPr>
          <w:p>
            <w:pPr>
              <w:spacing w:after="0"/>
              <w:rPr>
                <w:sz w:val="1"/>
                <w:szCs w:val="1"/>
                <w:color w:val="auto"/>
              </w:rPr>
            </w:pPr>
          </w:p>
        </w:tc>
      </w:tr>
      <w:tr>
        <w:trPr>
          <w:trHeight w:val="20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Vesting of restricted stock units</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and performance-based restricted</w:t>
            </w:r>
          </w:p>
        </w:tc>
        <w:tc>
          <w:tcPr>
            <w:tcW w:w="11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1,034,631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ESPP Shares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271,084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11,958</w:t>
            </w:r>
          </w:p>
        </w:tc>
        <w:tc>
          <w:tcPr>
            <w:tcW w:w="0" w:type="dxa"/>
            <w:vAlign w:val="bottom"/>
          </w:tcPr>
          <w:p>
            <w:pPr>
              <w:spacing w:after="0"/>
              <w:rPr>
                <w:sz w:val="1"/>
                <w:szCs w:val="1"/>
                <w:color w:val="auto"/>
              </w:rPr>
            </w:pP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20,965,747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5,850,747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w:t>
            </w:r>
          </w:p>
        </w:tc>
        <w:tc>
          <w:tcPr>
            <w:tcW w:w="0" w:type="dxa"/>
            <w:vAlign w:val="bottom"/>
          </w:tcPr>
          <w:p>
            <w:pPr>
              <w:spacing w:after="0"/>
              <w:rPr>
                <w:sz w:val="1"/>
                <w:szCs w:val="1"/>
                <w:color w:val="auto"/>
              </w:rPr>
            </w:pP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(209,248)</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(209,248)</w:t>
            </w:r>
          </w:p>
        </w:tc>
        <w:tc>
          <w:tcPr>
            <w:tcW w:w="0" w:type="dxa"/>
            <w:vAlign w:val="bottom"/>
          </w:tcPr>
          <w:p>
            <w:pPr>
              <w:spacing w:after="0"/>
              <w:rPr>
                <w:sz w:val="1"/>
                <w:szCs w:val="1"/>
                <w:color w:val="auto"/>
              </w:rPr>
            </w:pPr>
          </w:p>
        </w:tc>
      </w:tr>
      <w:tr>
        <w:trPr>
          <w:trHeight w:val="197"/>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118,210,315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1,149,170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(1,549,284)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(454,994)</w:t>
            </w: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w w:val="99"/>
              </w:rPr>
              <w:t>Issuance of common stock, net of</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sectPr>
      </w:pPr>
    </w:p>
    <w:p>
      <w:pPr>
        <w:ind w:left="20" w:right="60"/>
        <w:spacing w:after="0" w:line="221" w:lineRule="auto"/>
        <w:rPr>
          <w:sz w:val="20"/>
          <w:szCs w:val="20"/>
          <w:color w:val="auto"/>
        </w:rPr>
      </w:pPr>
      <w:r>
        <w:rPr>
          <w:rFonts w:ascii="Times New Roman" w:cs="Times New Roman" w:eastAsia="Times New Roman" w:hAnsi="Times New Roman"/>
          <w:sz w:val="16"/>
          <w:szCs w:val="16"/>
          <w:color w:val="auto"/>
        </w:rPr>
        <w:t>Issuance of common stock from ATM Program, net of issuance costs</w:t>
      </w:r>
    </w:p>
    <w:p>
      <w:pPr>
        <w:spacing w:after="0" w:line="9"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16"/>
          <w:szCs w:val="16"/>
          <w:color w:val="auto"/>
        </w:rPr>
        <w:t>Vesting of restricted stock units and performance-based restricted stock units</w:t>
      </w:r>
    </w:p>
    <w:p>
      <w:pPr>
        <w:spacing w:after="0" w:line="9" w:lineRule="exact"/>
        <w:rPr>
          <w:sz w:val="20"/>
          <w:szCs w:val="20"/>
          <w:color w:val="auto"/>
        </w:rPr>
      </w:pPr>
    </w:p>
    <w:p>
      <w:pPr>
        <w:ind w:left="20" w:right="400"/>
        <w:spacing w:after="0" w:line="308" w:lineRule="auto"/>
        <w:rPr>
          <w:sz w:val="20"/>
          <w:szCs w:val="20"/>
          <w:color w:val="auto"/>
        </w:rPr>
      </w:pPr>
      <w:r>
        <w:rPr>
          <w:rFonts w:ascii="Times New Roman" w:cs="Times New Roman" w:eastAsia="Times New Roman" w:hAnsi="Times New Roman"/>
          <w:sz w:val="14"/>
          <w:szCs w:val="14"/>
          <w:color w:val="auto"/>
        </w:rPr>
        <w:t>Stock-based compensation Exercise of warrants</w:t>
      </w:r>
    </w:p>
    <w:p>
      <w:pPr>
        <w:ind w:left="20"/>
        <w:spacing w:after="0" w:line="269" w:lineRule="auto"/>
        <w:rPr>
          <w:sz w:val="20"/>
          <w:szCs w:val="20"/>
          <w:color w:val="auto"/>
        </w:rPr>
      </w:pPr>
      <w:r>
        <w:rPr>
          <w:rFonts w:ascii="Times New Roman" w:cs="Times New Roman" w:eastAsia="Times New Roman" w:hAnsi="Times New Roman"/>
          <w:sz w:val="14"/>
          <w:szCs w:val="14"/>
          <w:color w:val="auto"/>
        </w:rPr>
        <w:t>Exercise of stock options and performance-based stock options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2024</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378,902</w:t>
            </w:r>
          </w:p>
        </w:tc>
        <w:tc>
          <w:tcPr>
            <w:tcW w:w="4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512</w:t>
            </w:r>
          </w:p>
        </w:tc>
        <w:tc>
          <w:tcPr>
            <w:tcW w:w="40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517"/>
        </w:trPr>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1,767,857</w:t>
            </w:r>
          </w:p>
        </w:tc>
        <w:tc>
          <w:tcPr>
            <w:tcW w:w="48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7"/>
        </w:trPr>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11,993</w:t>
            </w:r>
          </w:p>
        </w:tc>
        <w:tc>
          <w:tcPr>
            <w:tcW w:w="40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r>
      <w:tr>
        <w:trPr>
          <w:trHeight w:val="207"/>
        </w:trPr>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10,272,783</w:t>
            </w:r>
          </w:p>
        </w:tc>
        <w:tc>
          <w:tcPr>
            <w:tcW w:w="480" w:type="dxa"/>
            <w:vAlign w:val="bottom"/>
          </w:tcPr>
          <w:p>
            <w:pPr>
              <w:spacing w:after="0"/>
              <w:rPr>
                <w:sz w:val="17"/>
                <w:szCs w:val="17"/>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14,798</w:t>
            </w:r>
          </w:p>
        </w:tc>
        <w:tc>
          <w:tcPr>
            <w:tcW w:w="40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14,808</w:t>
            </w:r>
          </w:p>
        </w:tc>
      </w:tr>
      <w:tr>
        <w:trPr>
          <w:trHeight w:val="362"/>
        </w:trPr>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17,606</w:t>
            </w:r>
          </w:p>
        </w:tc>
        <w:tc>
          <w:tcPr>
            <w:tcW w:w="48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tcPr>
          <w:p>
            <w:pPr>
              <w:spacing w:after="0"/>
              <w:rPr>
                <w:sz w:val="24"/>
                <w:szCs w:val="24"/>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4"/>
                <w:szCs w:val="24"/>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7"/>
        </w:trPr>
        <w:tc>
          <w:tcPr>
            <w:tcW w:w="11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(51,745)</w:t>
            </w:r>
          </w:p>
        </w:tc>
        <w:tc>
          <w:tcPr>
            <w:tcW w:w="46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(51,745)</w:t>
            </w:r>
          </w:p>
        </w:tc>
      </w:tr>
      <w:tr>
        <w:trPr>
          <w:trHeight w:val="23"/>
        </w:trPr>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0"/>
        </w:trPr>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195,852,463</w:t>
            </w:r>
          </w:p>
        </w:tc>
        <w:tc>
          <w:tcPr>
            <w:tcW w:w="4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196</w:t>
            </w: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1,267,109</w:t>
            </w:r>
          </w:p>
        </w:tc>
        <w:tc>
          <w:tcPr>
            <w:tcW w:w="4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(1,601,029)</w:t>
            </w: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(54,998)</w:t>
            </w:r>
          </w:p>
        </w:tc>
        <w:tc>
          <w:tcPr>
            <w:tcW w:w="7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(388,722)</w:t>
            </w:r>
          </w:p>
        </w:tc>
      </w:tr>
      <w:tr>
        <w:trPr>
          <w:trHeight w:val="26"/>
        </w:trPr>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-1115060</wp:posOffset>
            </wp:positionV>
            <wp:extent cx="7138035" cy="3282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38035" cy="32829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-655955</wp:posOffset>
            </wp:positionV>
            <wp:extent cx="7138035" cy="1314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-294640</wp:posOffset>
            </wp:positionV>
            <wp:extent cx="7138035" cy="1314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2080" w:space="100"/>
            <w:col w:w="9060"/>
          </w:cols>
          <w:pgMar w:left="320" w:top="1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2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54"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1"/>
        </w:trPr>
        <w:tc>
          <w:tcPr>
            <w:tcW w:w="57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(51,745)</w:t>
            </w:r>
          </w:p>
        </w:tc>
        <w:tc>
          <w:tcPr>
            <w:tcW w:w="12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(209,248)</w:t>
            </w:r>
          </w:p>
        </w:tc>
        <w:tc>
          <w:tcPr>
            <w:tcW w:w="10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(233,659)</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loss on extinguishment of debt and exchange transaction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royalty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interest expense related to the revenue interest liability</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46,679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44,590</w:t>
            </w:r>
          </w:p>
        </w:tc>
      </w:tr>
      <w:tr>
        <w:trPr>
          <w:trHeight w:val="21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interest expense related to the royalty sale liability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15,215</w:t>
            </w:r>
          </w:p>
        </w:tc>
      </w:tr>
      <w:tr>
        <w:trPr>
          <w:trHeight w:val="21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r>
      <w:tr>
        <w:trPr>
          <w:trHeight w:val="204"/>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and amortization of premiums and discounts on investments</w:t>
            </w:r>
          </w:p>
        </w:tc>
        <w:tc>
          <w:tcPr>
            <w:tcW w:w="3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279</w:t>
            </w:r>
          </w:p>
        </w:tc>
      </w:tr>
      <w:tr>
        <w:trPr>
          <w:trHeight w:val="21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debt issuance costs and discounts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1,621</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(10,795)</w:t>
            </w:r>
          </w:p>
        </w:tc>
      </w:tr>
      <w:tr>
        <w:trPr>
          <w:trHeight w:val="204"/>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Prepaids and other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1,419</w:t>
            </w: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w:t>
            </w:r>
          </w:p>
        </w:tc>
      </w:tr>
      <w:tr>
        <w:trPr>
          <w:trHeight w:val="204"/>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5,603</w:t>
            </w:r>
          </w:p>
        </w:tc>
      </w:tr>
      <w:tr>
        <w:trPr>
          <w:trHeight w:val="204"/>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18,342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22,097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4,017</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(174,827)</w:t>
            </w:r>
          </w:p>
        </w:tc>
      </w:tr>
      <w:tr>
        <w:trPr>
          <w:trHeight w:val="205"/>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(59,897)</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sales/maturities of investments</w:t>
            </w:r>
          </w:p>
        </w:tc>
        <w:tc>
          <w:tcPr>
            <w:tcW w:w="3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42,500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68,001</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42,500</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8,104</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royalty sale liability</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royalty sale liability issuance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or principal payment of revenue interest liability</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revenue interest liability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credit agreement, net of issuance costs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convertible notes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Proceeds from issuance of common stock and warrants from offering, net of issuance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from ATM Program, net of issuance costs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90,849</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50,460</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32,606</w:t>
            </w:r>
          </w:p>
        </w:tc>
      </w:tr>
      <w:tr>
        <w:trPr>
          <w:trHeight w:val="19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(134,117)</w:t>
            </w:r>
          </w:p>
        </w:tc>
      </w:tr>
      <w:tr>
        <w:trPr>
          <w:trHeight w:val="20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124,775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258,892</w:t>
            </w:r>
          </w:p>
        </w:tc>
      </w:tr>
      <w:tr>
        <w:trPr>
          <w:trHeight w:val="20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144,761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82,248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124,775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57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costs not yet paid</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17"/>
                <w:szCs w:val="17"/>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right of use asset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bl>
    <w:p>
      <w:pPr>
        <w:spacing w:after="0" w:line="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640"/>
          </w:cols>
          <w:pgMar w:left="320" w:top="123" w:right="9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w:t>
      </w:r>
    </w:p>
    <w:p>
      <w:pPr>
        <w:spacing w:after="0" w:line="20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Esperion Therapeutics, Inc. ("the Company” or "Esperion") is a commercial stage biopharmaceutical company currently focused on bringing new medicines to patients that address unmet medical needs. The Company has developed and is commercializing U.S. Food and Drug Administration (“FDA”) approved oral, once-daily, non-statin medicines for patients who are at risk for cardiovascular disease and are struggling with elevated low density lipoprotein cholesterol ("LDL-C"). Through commercial execution, international partnerships and collaborations and advancement of its pre-clinical pipeline, the Company continues to evolve into a leading global biopharmaceutical company.</w:t>
      </w:r>
    </w:p>
    <w:p>
      <w:pPr>
        <w:spacing w:after="0" w:line="20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The Company's lead products, NEXLETOL® (bempedoic acid) tablets and NEXLIZET® (bempedoic acid and ezetimibe) tablets, are oral, once-daily, non-statin medicines indicated to reduce the risk of myocardial infarction and coronary revascularization in adults who are unable to take recommended statin therapy (including those not taking a statin) with established cardiovascular disease ("CVD"), or at high risk for a CVD event but without established CVD, and to reduce LDL-C in adults with primary hyperlipidemia. The Company's products were approved by the FDA, the European Commission ("EC") and Swiss Agency for Therapeutic Products ("Swissmedic") in 2020. The FDA approved expanded indications for NEXLETOL and NEXLIZET tablets in March 2024. The EC approved expanded indications for NILEMDO® (bempedoic acid) tablets and NUSTENDI® (bempedoic acid and ezetimibe) tablets in May 2024. In addition, Otsuka Pharmaceutical Co., Ltd ("Otsuka"), Esperion’s Japanese collaborator, announced that the primary endpoint of LDL-C reduction from baseline at Week 12 was achieved with statistical significance in the Phase 3 clinical trial in Japan for bempedoic acid as a treatment for hypercholesterolemia. Otsuka filed a New Drug Application ("NDA") in Japan in November 2024, with expected approval and National Health Insurance ("NHI") pricing in the second half of 2025. The Company filed supplemental New Drug Applications for product approvals in Canada in November 2024 and the Company's collaboration partners plan to file in Australia and Israel in the first half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Company completed a global cardiovascular outcomes trial ("CVOT"), —known as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color w:val="auto"/>
        </w:rPr>
        <w:t xml:space="preserve">holesterol </w:t>
      </w:r>
      <w:r>
        <w:rPr>
          <w:rFonts w:ascii="Times New Roman" w:cs="Times New Roman" w:eastAsia="Times New Roman" w:hAnsi="Times New Roman"/>
          <w:sz w:val="17"/>
          <w:szCs w:val="17"/>
          <w:b w:val="1"/>
          <w:bCs w:val="1"/>
          <w:u w:val="single" w:color="auto"/>
          <w:color w:val="auto"/>
        </w:rPr>
        <w:t>L</w:t>
      </w:r>
      <w:r>
        <w:rPr>
          <w:rFonts w:ascii="Times New Roman" w:cs="Times New Roman" w:eastAsia="Times New Roman" w:hAnsi="Times New Roman"/>
          <w:sz w:val="17"/>
          <w:szCs w:val="17"/>
          <w:color w:val="auto"/>
        </w:rPr>
        <w:t>owering via B</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 xml:space="preserve">mpedoic Acid, an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7"/>
          <w:szCs w:val="17"/>
          <w:color w:val="auto"/>
        </w:rPr>
        <w:t xml:space="preserve">CL-inhibiting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egimen ("CLEAR") Outcomes. The trial was designed to evaluate whether treatment with bempedoic acid reduced the risk of cardiovascular events in patients who are statin averse and who have CVD or are at high risk for CVD. The Company initiated the CLEAR Outcomes CVOT in December 2016 and fully enrolled the study with nearly 14,000 patients in August 2019. The primary endpoint of the study was the effect of bempedoic acid on four types of major adverse cardiovascular events ("MACE") (cardiovascular death, non-fatal myocardial infarction, non-fatal stroke, or coronary revascularization; also referred to as "four-component MACE"). CLEAR Outcomes was an event-driven trial and concluded once the predetermined number of MACE endpoints occurred.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proven to lower hard ischemic events, not only in those with atherosclerotic cardiovascular disease ("ASCVD") but also in the large number of primary prevention patients for whom limited therapies exist.</w:t>
      </w:r>
    </w:p>
    <w:p>
      <w:pPr>
        <w:spacing w:after="0" w:line="17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7"/>
          <w:szCs w:val="17"/>
          <w:color w:val="auto"/>
        </w:rPr>
        <w:t>On January 2, 2024, the Company entered into a settlement agreement with Daiichi Sankyo Europe GmbH ("DSE") to amicably resolve and dismiss the commercial dispute then pending in the Southern District of New York ("Settlement Agreement"). Under the Settlement Agreement, DSE agreed to pay the Company an aggregate of $125.0 million, including (1) a $100.0 million payment within 15 business days of the effective date of the Settlement Agreement and</w:t>
      </w:r>
    </w:p>
    <w:p>
      <w:pPr>
        <w:spacing w:after="0" w:line="1" w:lineRule="exact"/>
        <w:rPr>
          <w:sz w:val="20"/>
          <w:szCs w:val="20"/>
          <w:color w:val="auto"/>
        </w:rPr>
      </w:pPr>
    </w:p>
    <w:p>
      <w:pPr>
        <w:ind w:firstLine="3"/>
        <w:spacing w:after="0" w:line="237" w:lineRule="auto"/>
        <w:tabs>
          <w:tab w:leader="none" w:pos="24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$25.0 million payment received in the second quarter of 2024 after the European Medicines Agency ("EMA") rendered a decision on the application that was filed with the EMA for a Type II(a) variation for the Company's oral non-statin products marketed as NILEMDO tablets and NUSTENDI tablets in Europe. The legal action pending in the United States District Court for the Southern District of New York has now been dismissed. Refer to Note 3 "Collaborations with Third Parties" and Note 5 "Commitments and Contingencies" for further information.</w:t>
      </w:r>
    </w:p>
    <w:p>
      <w:pPr>
        <w:spacing w:after="0" w:line="17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On January 18, 2024, the Company entered into an Underwriting Agreement (the "Underwriting Agreement") with Jefferies LLC ("Jefferies"), as representative of several underwriters (the "Underwriters"), related to an underwritten public offering (the "January 2024 Offering") of 56,700,000 shares of Common Stock of the Company, par value $0.001 per share,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2" w:lineRule="auto"/>
        <w:rPr>
          <w:sz w:val="20"/>
          <w:szCs w:val="20"/>
          <w:color w:val="auto"/>
        </w:rPr>
      </w:pPr>
      <w:r>
        <w:rPr>
          <w:rFonts w:ascii="Times New Roman" w:cs="Times New Roman" w:eastAsia="Times New Roman" w:hAnsi="Times New Roman"/>
          <w:sz w:val="17"/>
          <w:szCs w:val="17"/>
          <w:color w:val="auto"/>
        </w:rPr>
        <w:t>Underwriters' option, the January Offering closed on January 23, 2024, with proceeds to the Company of approximately $90.7 million, after deducting the underwriting discount and estimated offering expenses of $7.1 million.</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On March 22, 2024, the Company announced that the FDA approved new label expansions for NEXLETOL and NEXLIZET based on positive CLEAR Outcomes data that include indications for cardiovascular risk reduction and expanded LDL-C lowering in both primary and secondary prevention patients. In addition, the enhanced labels support the use of NEXLETOL and NEXLIZET either alone or in combination with statins. They also include new indications for primary hyperlipidemia, alone or in combination with a statin, and are now the only LDL-C lowering non-statin drugs indicated for primary prevention patients.</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On May 22, 2024, the Company announced that the EC approved the label update of both NILEMDO and NUSTENDI as treatments for hypercholesterolemia and to reduce the risk of adverse cardiovascular events. The EC’s decisions to update the labels of bempedoic acid and the bempedoic acid / ezetimibe fixed dose combination are based on the positive CLEAR Outcomes trial results and makes them the first and only LDL-C lowering treatments indicated for primary and secondary prevention of cardiovascular events. NILEMDO and NUSTENDI are approved to reduce cardiovascular risk in patients with or at high risk for atherosclerotic cardiovascular disease.</w:t>
      </w:r>
    </w:p>
    <w:p>
      <w:pPr>
        <w:spacing w:after="0" w:line="203"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7"/>
          <w:szCs w:val="17"/>
          <w:color w:val="auto"/>
        </w:rPr>
        <w:t>On June 27, 2024, the Company entered into a Royalty Purchase Agreement (the “Purchase Agreement”) with OCM IP Healthcare Portfolio LP (“OMERS”), a limited partnership formed under the laws of the Province of Ontario, Canada (the “Purchaser”).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DSE and the Company, as amended (the “License and Collaboration Agreement” and such royalties being the “Royalty Interests”).</w:t>
      </w:r>
    </w:p>
    <w:p>
      <w:pPr>
        <w:spacing w:after="0" w:line="20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 Refer to Note 11 "Sale of Future Royalties" for further information.</w:t>
      </w:r>
    </w:p>
    <w:p>
      <w:pPr>
        <w:spacing w:after="0" w:line="18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7"/>
          <w:szCs w:val="17"/>
          <w:color w:val="auto"/>
        </w:rPr>
        <w:t>On June 27, 2024, the Company repurchased Revenue Interests outstanding under the Revenue Interest Purchase Agreement (the “RIPA”), dated effective as of June 26, 2019, as amended, by and among the Company, the purchasers party thereto (the “Purchasers”), and Eiger III SA LLC ("Oberland"), as the collateral agent and administrative agent (the “Purchaser Agent”), and satisfied all other Obligations (as defined in the RIPA) owed to the Purchasers and the Purchaser</w:t>
      </w:r>
    </w:p>
    <w:p>
      <w:pPr>
        <w:spacing w:after="0" w:line="2"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7"/>
          <w:szCs w:val="17"/>
          <w:color w:val="auto"/>
        </w:rPr>
        <w:t>Agent by paying to the Purchaser Agent, for the benefit of the Purchasers, a payment in cash of $343.8 million (the “Repurchase 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 Refer to Note 10 "Liability Related to the Revenue Interest Purchase Agreement" for further information.</w:t>
      </w:r>
    </w:p>
    <w:p>
      <w:pPr>
        <w:spacing w:after="0" w:line="19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7"/>
          <w:szCs w:val="17"/>
          <w:color w:val="auto"/>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(the “2025 Notes”) and to pay fees and expenses in connection with the Credit Agreement. Refer to Note 12 "Debt" for further information.</w:t>
      </w:r>
    </w:p>
    <w:p>
      <w:pPr>
        <w:spacing w:after="0" w:line="19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On December 13, 2024, the Company announced that they entered into privately negotiated exchange and subscription agreements, or the Agreements, with certain holders of our outstanding 2025 Notes. On December 17, 2024, the Company issued $100.0 million aggregate principal amount of 5.75% Convertible Senior Subordinated Notes due 2030 (the “2030 Notes”) under an Indenture, dated December 17, 2024 (the “Indenture”), between the Company and U.S. Bank Trust Company, National Association, as trustee. The Company issued approximately $57.5 million aggregate principal amount of 2030 Notes along with approximately $153.4 million in cash, including accrued interest, in exchange for approximately $210.1 million aggregate principal amount of its 2025 Notes, pursuant to privately negotiated agreements entered into with certain holders of</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its 2025 Notes (the “Exchange Transaction”). The Company also issued and sold approximately $42.5 million aggregate principal amount of 2030 Notes for cash, pursuant to privately negotiated agreements (the “Subscription Transactions” and, together with the Exchange Transaction, the “Transaction”). Refer to Note 12 "Debt" for further information.</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spacing w:after="0" w:line="17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The Company has sustained annual operating losses since inception and expects such losses to continue over the near term future. While management believes current cash resources and future cash received from the Company's net product sales and collaboration agreements with DSE,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77"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2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accompanying financial statements have been prepared by the Company in accordance with generally accepted accounting principles in the United States of America (“GAAP”).</w:t>
      </w:r>
    </w:p>
    <w:p>
      <w:pPr>
        <w:spacing w:after="0" w:line="147" w:lineRule="exact"/>
        <w:rPr>
          <w:sz w:val="20"/>
          <w:szCs w:val="20"/>
          <w:color w:val="auto"/>
        </w:rPr>
      </w:pPr>
    </w:p>
    <w:p>
      <w:pPr>
        <w:ind w:right="7780" w:firstLine="3"/>
        <w:spacing w:after="0" w:line="510" w:lineRule="auto"/>
        <w:tabs>
          <w:tab w:leader="none" w:pos="215"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Use of Estimates</w:t>
      </w:r>
    </w:p>
    <w:p>
      <w:pPr>
        <w:ind w:right="160"/>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22"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The Company views its operations and manages its business in one operating segment, which is the business of researching, developing and commercializing therapies for the treatment of patients with elevated LDL-C.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2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Company’s cash and cash equivalents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2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Cash, cash equivalents, and investments consist of financial instruments that potentially subject the Company to concentrations of credit risk. The Company has established guidelines for investment of its excess cash and believes the guidelines maintain safety and liquidity through diversification of counterparties and maturities. The Company enters into a limited number of distribution agreements with distributors and specialty pharmacies. The Company's net product sales are with these customers. As of December 31, 2024, ten customers accounted for all of the Company's net trade receivables and as of December 31, 2023 eleven customers accounted for all the Company's net trade receivables. As of December 31, 2024, three customers hold approximately 99% of the Company's trade receivables associated with net product sales and accounted for approximately 97% of gross sales of NEXLETOL and NEXLIZET in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 net</w:t>
      </w:r>
    </w:p>
    <w:p>
      <w:pPr>
        <w:spacing w:after="0" w:line="261"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77"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p>
      <w:pPr>
        <w:spacing w:after="0" w:line="22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Depreciation is provided using the straight-line method over the estimated useful lives of the respective assets, generally three to ten years. Leasehold improvements are amortized over the lesser of the lease term or the estimated useful lives of the related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 xml:space="preserve">The Company reviews all arrangements to determine if the contract contains a lease or an embedded lease using the criteria in Accounting Standards Codification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If a lease is identified, the Company reviews the consideration in the contract and separates the lease components from the nonlease components. In addition, the Company reviews the classification of the lease between operating and finance leases. According to ASC 842, lessees should discount lease payments at the lease commencement date using the rate implicit in the lease. If the rate implicit in the lease is not readily determinable, a lessee must use its incremental borrowing rate for purposes of classifying the lease and measuring the right-of-use asset and liability. To the extent the rate is not implicit in the lease, the Company uses the incremental borrowing rate it would have to pay to borrow on a collateralized basis over a similar term in an amount equal to the lease payments in a similar economic environment.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 reviews long-lived assets, including property and equipment and right-of-use operating lease assets,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No impairment losses have been recorded through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Notes</w:t>
      </w:r>
    </w:p>
    <w:p>
      <w:pPr>
        <w:spacing w:after="0" w:line="209"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The convertible notes are reported as a single liability at their amortized costs on the balance sheets, net of unamortized issuance costs. Issuance costs are amortized to interest expense over the life of the convertible debt. The Company uses the if-converted method when calculating diluted earnings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Clinical Development Costs</w:t>
      </w:r>
    </w:p>
    <w:p>
      <w:pPr>
        <w:spacing w:after="0" w:line="22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Outside research costs are a component of research and development expense. These expenses include fees paid to clinical research organizations and other service providers that conduct certain clinical and product development activities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Liability Related to the Sale of Future Royalties</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Company treats the sale of future DSE royalties as debt, amortized under the effective interest rate method over the estimated life of the royalty sale agreement. The royalty sale liability is presented net of deferred issuance costs on the balance sheets. The amortization of the liability related to future royalties and related interest expense are based on the Company's current estimates of future royalties, which the Company determines by using forecasted royalty sales from its collaboration partner, historical experience, third-party forecasts and current market conditions. The Company periodically assesses the forecasted sales and to the extent the amount or timing of future estimated royalty payments is materially different than previous estimates, the Company will account for any such change by adjusting the liability related to the sale of future royalties and prospectively recognize the related non-cash interest expense. Royalty revenue is recognized and the related liability reduced as earned.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Interest Liability</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revenue interest liability is presented net of deferred issuance costs on the balance sheets.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of forecasted net sales. The Company evaluates the interest rate quarterly based on its current net sales forecasts utilizing the prospective method. In connection with the termination of the RIPA, as of December 31, 2024, the Company no longer has the liability referred to as the “Revenue interest liability” on the balance sheet.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 xml:space="preserve">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of the Company's product candidates by the Company's partners and product sales consists of sales of NEXLETOL and NEXLIZET in the United States.</w:t>
      </w:r>
    </w:p>
    <w:p>
      <w:pPr>
        <w:spacing w:after="0" w:line="169" w:lineRule="exact"/>
        <w:rPr>
          <w:sz w:val="20"/>
          <w:szCs w:val="20"/>
          <w:color w:val="auto"/>
        </w:rPr>
      </w:pPr>
    </w:p>
    <w:p>
      <w:pPr>
        <w:ind w:left="320" w:hanging="317"/>
        <w:spacing w:after="0"/>
        <w:tabs>
          <w:tab w:leader="none" w:pos="32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Revenue</w:t>
      </w:r>
    </w:p>
    <w:p>
      <w:pPr>
        <w:spacing w:after="0" w:line="22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In accordance with ASC 606, revenue is measured as the amount of consideration expected to be entitled to in exchange for transferring promised goods or providing services to a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77"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7"/>
          <w:szCs w:val="17"/>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7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The terms of the agreements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 based milestones and royalties based on sales of product in a territory, the Company applies the sales-based royalty exception in ASC 606 to all of these milestones and royalties.</w:t>
      </w:r>
    </w:p>
    <w:p>
      <w:pPr>
        <w:spacing w:after="0" w:line="1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At the inception of a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statements of operations and comprehensive loss.</w:t>
      </w:r>
    </w:p>
    <w:p>
      <w:pPr>
        <w:spacing w:after="0" w:line="179"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7"/>
          <w:szCs w:val="17"/>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w:t>
      </w:r>
    </w:p>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b.</w:t>
        <w:tab/>
        <w:t>Product Sales, Net</w:t>
      </w:r>
    </w:p>
    <w:p>
      <w:pPr>
        <w:spacing w:after="0" w:line="22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On March 30, 2020 and June 4, 2020, NEXLETOL and NEXLIZET, respectively, were commercially available in the U.S. through prescription and on June 4, 2020, NEXLIZET was commercially available in the U.S. through prescription. Net product sales totaled $115.7 million, $78.3 million and $55.9 million for the years ended December 31, 2024, December 31, 2023 and December 31, 2022, respectively.</w:t>
      </w:r>
    </w:p>
    <w:p>
      <w:pPr>
        <w:spacing w:after="0" w:line="167"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Company sells NEXLETOL and NEXLIZET to wholesalers in the U.S and recognizes revenue at the point in time when the customer is deemed to have obtained control of the product. The customer is deemed to have obtained control of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product at the time of physical receipt of the product at the customers’ distribution facilities, or free on board (“FOB”) destination, the terms of which are designated in the contract.</w:t>
      </w:r>
    </w:p>
    <w:p>
      <w:pPr>
        <w:spacing w:after="0" w:line="1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7"/>
          <w:szCs w:val="17"/>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and fees.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 for co-pay assistance, expected product returns, rebates, and distributor fees are classified as “Accrued variable consideration" in the balance sheets.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Discounts, such as prompt pay discounts, and chargebacks are recorded as a reduction to trade accounts receivable in the balance sheets.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Forms of Variable Consideration</w:t>
      </w:r>
    </w:p>
    <w:p>
      <w:pPr>
        <w:spacing w:after="0" w:line="21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Rebates and Chargebacks: </w:t>
      </w:r>
      <w:r>
        <w:rPr>
          <w:rFonts w:ascii="Times New Roman" w:cs="Times New Roman" w:eastAsia="Times New Roman" w:hAnsi="Times New Roman"/>
          <w:sz w:val="17"/>
          <w:szCs w:val="17"/>
          <w:color w:val="auto"/>
        </w:rPr>
        <w:t>The Company estimates reductions to product sales for Public Health Service Institutions, such as Medicaid, Medicare and Veterans'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Medicare and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71"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Co-pay assistance: </w:t>
      </w:r>
      <w:r>
        <w:rPr>
          <w:rFonts w:ascii="Times New Roman" w:cs="Times New Roman" w:eastAsia="Times New Roman" w:hAnsi="Times New Roman"/>
          <w:sz w:val="17"/>
          <w:szCs w:val="17"/>
          <w:color w:val="auto"/>
        </w:rPr>
        <w:t>Eligible patients who have commercial insurance may receive assistance from the Company to reduce the patient's out of pocket costs.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60" w:lineRule="exact"/>
        <w:rPr>
          <w:sz w:val="20"/>
          <w:szCs w:val="20"/>
          <w:color w:val="auto"/>
        </w:rPr>
      </w:pPr>
    </w:p>
    <w:p>
      <w:pPr>
        <w:ind w:right="60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Distribution Fees: </w:t>
      </w:r>
      <w:r>
        <w:rPr>
          <w:rFonts w:ascii="Times New Roman" w:cs="Times New Roman" w:eastAsia="Times New Roman" w:hAnsi="Times New Roman"/>
          <w:sz w:val="17"/>
          <w:szCs w:val="17"/>
          <w:color w:val="auto"/>
        </w:rPr>
        <w:t>The Company has written contracts with its customers that include terms for distribution fees and costs for inventory management.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estimates and records distribution fees due to its customers based on gross sales.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Product Returns: </w:t>
      </w:r>
      <w:r>
        <w:rPr>
          <w:rFonts w:ascii="Times New Roman" w:cs="Times New Roman" w:eastAsia="Times New Roman" w:hAnsi="Times New Roman"/>
          <w:sz w:val="17"/>
          <w:szCs w:val="17"/>
          <w:color w:val="auto"/>
        </w:rPr>
        <w:t>The Company generally offers a right of return based on the product’s expiration date and certain spoilage and damaged instances.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estimates the amount of product sales that may be returned and records the estimate as a reduction of product sales in the period the related product sales is recognized. The Company’s estimates for expected returns are based primarily on an ongoing analysis of historical returns sales information and visibility into the inventory remaining in the distribution channel.</w:t>
      </w:r>
    </w:p>
    <w:p>
      <w:pPr>
        <w:spacing w:after="0" w:line="167"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Discounts: </w:t>
      </w:r>
      <w:r>
        <w:rPr>
          <w:rFonts w:ascii="Times New Roman" w:cs="Times New Roman" w:eastAsia="Times New Roman" w:hAnsi="Times New Roman"/>
          <w:sz w:val="17"/>
          <w:szCs w:val="17"/>
          <w:color w:val="auto"/>
        </w:rPr>
        <w:t>The Company provides product discounts, such as prompt pay discounts, to its customers. The Company estimates cash discounts based on terms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negotiated contracts and the Company’s expectations regarding future payment patterns.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Goods Sold</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goods sold is related to the Company's net product sales of NEXLETOL and NEXLIZET and the cost of the API and tablets supplied to collaboration partners under supply agreements. Cost of goods sold includes the actual product costs, including inbound freight charges and certain outbound freight charges, purchasing, sourcing, inspection and receiving costs.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consist of costs incurred to further the Company’s research and development activities and include salaries and related benefits, costs associated with clinical activities, nonclinical activities, regulatory activities, manufacturing activities to support clinical activities and commercial product manufacturing supply prior to the Company's regulatory approval, research-related overhead expenses, in-licensing agreements and fees paid to external service providers that conduct certain research and development, clinical, and manufacturing activities on behalf of the Company. Research and development costs are expensed as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costs of programs necessary for the general conduct of the Company's business, including costs associated with the commercialization of NEXLETOL and NEXLIZET, selling expenses, facility-related costs, communication expenses and professional fees for legal, patent prosecution, protection and review, consulting and accounting services. Selling, general and administrative expenses are expensed as costs are incurred, services are performed, or goods are delivered. The Company incurred advertising costs of $25.5 million, $15.6 million, and $11.3 million, for the years ended December 31, 2024, December 31, 2023 and December 31, 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the provisions of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Accordingly, compensation costs related to equity instruments granted are recognized over the requisite service periods of the awards on a straight-line basis at the grant-date fair value. The fair value for stock options and performance-based stock options is calculated using a Black-Scholes option-pricing model. The price used in the Black-Scholes model is determined by the closing stock price on the date of grant and adjusted if management identifies any material nonpublic information possessed at the time of grant. If the instruments contain performance conditions, compensation expense is recognized only if achievement of the performance condition is probable. The Company accounts for forfeitures as they occur. Expense is recognized during the period the related services are rendered.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Deferred tax assets and liabilities are determined based on differences between financial reporting and the tax basis of assets and liabilities and are measured using enacted tax rates and laws that will be in effect when the differences are expected to reverse. The Company has incurred annual operating losses since inception. Accordingly, it is not more likely than not that the Company will realize a tax benefit from its deferred tax assets and as such, it has recorded a full valuation allowance.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November 2023, the FASB issued ASU 2023-07</w:t>
      </w:r>
      <w:r>
        <w:rPr>
          <w:rFonts w:ascii="Times New Roman" w:cs="Times New Roman" w:eastAsia="Times New Roman" w:hAnsi="Times New Roman"/>
          <w:sz w:val="17"/>
          <w:szCs w:val="17"/>
          <w:i w:val="1"/>
          <w:iCs w:val="1"/>
          <w:color w:val="auto"/>
        </w:rPr>
        <w:t>, Segment reporting (Topic 280): Improvements to Reportable Segment Disclosures.</w:t>
      </w:r>
      <w:r>
        <w:rPr>
          <w:rFonts w:ascii="Times New Roman" w:cs="Times New Roman" w:eastAsia="Times New Roman" w:hAnsi="Times New Roman"/>
          <w:sz w:val="17"/>
          <w:szCs w:val="17"/>
          <w:color w:val="auto"/>
        </w:rPr>
        <w:t xml:space="preserve"> ASU 2023-07 will improve reportable segment disclosure requirements, primarily through enhanced disclosures about significant segment expenses on an interim and annual basis. This ASU is effective for annual periods beginning after December 15, 2023, and interim periods after December 15, 2024, with early adoption permitted. The Company adopted this standard for the year ended December 31, 2024 and it did not have a material impact on the Company's consolidated financial statements. Refer to Note 18 "Segment Reporting" for required disclosures from this ASU.</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which requires disaggregated information about a reporting entity's effective tax rate reconciliation, as well as information related to income taxes paid to enhance the transparency and decision usefulness of income tax disclosures. This ASU will be effective for the annual period ending December 31, 2025. The Company is currently evaluating the timing and impacts of adoption of this ASU.</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2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Disaggregation of Income Statement Expenses (Subtopic 220-40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requires additional disclosure of the nature of expenses included in the income statement. The primary goal is to improve the decision usefulness of expense information on public business entities' income statements through the disaggregation of relevant expense captions in the notes of the financial statements. This ASU will be effective for annual periods beginning after December 15, 2026, and interim periods after December 15, 2027. The Company is currently evaluating the timing and impacts of adoption of this ASU.</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expect adoption of any remaining recently issued accounting pronouncements to have a material impact on the financial statements.</w:t>
      </w:r>
    </w:p>
    <w:p>
      <w:pPr>
        <w:spacing w:after="0" w:line="214" w:lineRule="exact"/>
        <w:rPr>
          <w:sz w:val="20"/>
          <w:szCs w:val="20"/>
          <w:color w:val="auto"/>
        </w:rPr>
      </w:pPr>
    </w:p>
    <w:p>
      <w:pPr>
        <w:ind w:right="8580" w:firstLine="3"/>
        <w:spacing w:after="0" w:line="510" w:lineRule="auto"/>
        <w:tabs>
          <w:tab w:leader="none" w:pos="172"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Collaborations with Third Parties DSE Agreement Terms</w:t>
      </w:r>
    </w:p>
    <w:p>
      <w:pPr>
        <w:spacing w:after="0"/>
        <w:rPr>
          <w:sz w:val="20"/>
          <w:szCs w:val="20"/>
          <w:color w:val="auto"/>
        </w:rPr>
      </w:pPr>
      <w:r>
        <w:rPr>
          <w:rFonts w:ascii="Times New Roman" w:cs="Times New Roman" w:eastAsia="Times New Roman" w:hAnsi="Times New Roman"/>
          <w:sz w:val="17"/>
          <w:szCs w:val="17"/>
          <w:color w:val="auto"/>
        </w:rPr>
        <w:t>On January 2, 2019, the Company entered into a license and collaboration agreement with DSE, which was further amended on June 18, 2020, and January 2,</w:t>
      </w:r>
    </w:p>
    <w:p>
      <w:pPr>
        <w:spacing w:after="0" w:line="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2024 (as amended, the “DSE Agreement”). Pursuant to the DSE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included in the DSE Territory outside of Turkey.</w:t>
      </w:r>
    </w:p>
    <w:p>
      <w:pPr>
        <w:spacing w:after="0" w:line="1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Pursuant to the agreement, the Company received upfront cash of $150.0 million in 2019, and a $150.0 million cash payment to the Company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70"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On January 2, 2024, the Company entered into a Settlement Agreement with DSE to amicably resolve and dismiss their commercial dispute in the Southern District of New York. Under the Settlement Agreement, DSE has agreed to pay the Company an aggregate of $125 million, including (1) a $100 million payment within 15 business days of the effective date of the Settlement Agreement and (2) a $25 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shall have sole authority and control of regulatory communications with the EMA regarding the pending marketing authorization applications for NILEMDO and NUSTENDI. Pursuant to the DSE Amendment, the Company is entitled to receive one-time cash payments of up to $300 million upon the achievement of certain commercial milestones related to total net sales achievements in the DSE Territory. The Company is also entitled to receive tiered 15% to 25% royalties on net DSE Territory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recognized collaboration revenue of $205.0 million, made up of payments pursuant to the Settlement Agreement and EMA approval, royalty revenue from DSE and sales of bulk tablets to DSE pursuant to the supply agreement that was executed with DSE. During the years ended December 31, 2023 and December 31,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Collaborations with Third Parties (Continued)</w:t>
      </w:r>
    </w:p>
    <w:p>
      <w:pPr>
        <w:spacing w:after="0" w:line="200" w:lineRule="exact"/>
        <w:rPr>
          <w:sz w:val="20"/>
          <w:szCs w:val="20"/>
          <w:color w:val="auto"/>
        </w:rPr>
      </w:pPr>
    </w:p>
    <w:p>
      <w:pPr>
        <w:spacing w:after="0" w:line="332"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2022, the Company recognized collaboration revenue of $37.2 million and $18.2 million respectively, related to royalty revenue from DSE as well as the sales of bulk tablets to DSE pursuant to the supply agreement that was executed with DSE.</w:t>
      </w:r>
    </w:p>
    <w:p>
      <w:pPr>
        <w:spacing w:after="0" w:line="151"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7"/>
          <w:szCs w:val="17"/>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Otsuka Agreement Terms</w:t>
      </w:r>
    </w:p>
    <w:p>
      <w:pPr>
        <w:spacing w:after="0" w:line="22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Pursuant to the agreement, the consideration consists of a $60.0 million upfront cash payment and the Company will be eligible to receive additional payments of up to $450.0 million if certain regulatory and commercial milestones are achieved by Otsuka. The Company received $10.0 million in 2024 related to a milestone payment upon first Japanese New Drug Application ("JNDA") submissions in the Otsuka Territory. The potential future milestone payments include up to $10 million upon JNDA approval in the Otsuka Territory, up to $70.0 million upon the first NHI Price Listing for NEXLETOL in the Otsuka Territory, and up to $50.0 million upon the achievement of the primary major adverse cardiovascular events (“MACE”) in the CLEAR Outcomes study and inclusion of the CV risk reduction indication in the U.S. label, depending on the range of relative risk reduction in the CLEAR Outcomes study, payable upon approval and pricing in Japan.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During the year ended December 31, 2024, the Company recognized collaboration revenue of $11.3 million related to the milestone recognized upon first JNDA submissions in the Otsuka Territory and sales of bulk tablets to Otsuka pursuant to the supply agreement that was executed with Otsuka. During the years ended December 31, 2023 and December 31, 2022, the Company recognized collaboration revenue of $0.1 million and $0.6 million, respectively, related to sales of bulk tablets to Otsuka pursuant to the supply agreement that was executed with Otsuka.</w:t>
      </w:r>
    </w:p>
    <w:p>
      <w:pPr>
        <w:spacing w:after="0" w:line="17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DS Agreement Terms</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Pursuant to the license and collaboration agreement ("DS Agreement"), executed in April 2021, the Company granted DS exclusive rights to develop and commercialize bempedoic acid and the bempedoic acid / ezetimibe combination tablet in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Collaborations with Third Parties (Continued)</w:t>
      </w:r>
    </w:p>
    <w:p>
      <w:pPr>
        <w:spacing w:after="0" w:line="200" w:lineRule="exact"/>
        <w:rPr>
          <w:sz w:val="20"/>
          <w:szCs w:val="20"/>
          <w:color w:val="auto"/>
        </w:rPr>
      </w:pPr>
    </w:p>
    <w:p>
      <w:pPr>
        <w:spacing w:after="0" w:line="33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7"/>
          <w:szCs w:val="17"/>
          <w:color w:val="auto"/>
        </w:rPr>
        <w:t>Pursuant to the Settlement Agreement, on January 2, 2024, the Company entered a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Company considered the guidance under ASC 606 and concluded that the DS Agreement was in the scope of ASC 606. The Company concluded that the upfront payment of $30.0 million should be included in the transaction price and related to the following performance obligations under the DS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During the years ended December 31, 2023 and December 31, 2022, the Company recognized $0.7 million and $0.8 million, respectively, of collaboration revenue related to the ongoing regulatory and development activities. During the year ended December 31, 2024, the Company recognized $0.1 million related to royalty revenue from DS.</w:t>
      </w:r>
    </w:p>
    <w:p>
      <w:pPr>
        <w:spacing w:after="0" w:line="20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Agreements</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December 12, 2024, the Company entered into a license and collaboration agreement with Neopharm Israel ("Neopharm") for the exclusive rights to commercialize NEXLETOL and NEXLIZET in Israel. Under the terms of the agreement, the Company granted Neopharm exclusive commercialization rights to NEXLETOL and NEXLIZET in Israel, Gaza, and West Bank. Neopharm will be responsible for commercialization in these areas. Esperion will receive an upfront and near-term milestone payments and will be eligible to receive tiered royalties on sales of NEXLETOL/NEXLIZET in Israel. During the year ended December 31, 2024, the Company recognized approximately $0.3 million of collaboration revenue related to the upfront milestone payment.</w:t>
      </w:r>
    </w:p>
    <w:p>
      <w:pPr>
        <w:spacing w:after="0" w:line="160"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17"/>
          <w:szCs w:val="17"/>
          <w:color w:val="auto"/>
        </w:rPr>
        <w:t>On February 26, 2025, the Company entered into a license and distribution agreement with Seqirus Pty Ltd ("CSL Seqirus") for the rights to commercialize NEXLETOL and NEXLIZET in Australia and New Zealand. Under the terms of the agreement, the Company will receive upfront and near-term milestone payments and will be responsible for supplying finished product to CSL Seqirus. CSL Seqirus will be responsible for commercialization, including regulatory approval, reimbursement and marketing.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consist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5"/>
                <w:szCs w:val="15"/>
                <w:color w:val="auto"/>
              </w:rPr>
            </w:pPr>
          </w:p>
        </w:tc>
      </w:tr>
      <w:tr>
        <w:trPr>
          <w:trHeight w:val="23"/>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78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7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61,890</w:t>
            </w: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w:t>
            </w: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r>
      <w:tr>
        <w:trPr>
          <w:trHeight w:val="213"/>
        </w:trPr>
        <w:tc>
          <w:tcPr>
            <w:tcW w:w="7820" w:type="dxa"/>
            <w:vAlign w:val="bottom"/>
          </w:tcPr>
          <w:p>
            <w:pPr>
              <w:spacing w:after="0"/>
              <w:rPr>
                <w:sz w:val="18"/>
                <w:szCs w:val="18"/>
                <w:color w:val="auto"/>
              </w:rPr>
            </w:pP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94,491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65,623</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reserves were $0.3 million and $3.1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580" w:firstLine="3"/>
        <w:spacing w:after="0" w:line="515" w:lineRule="auto"/>
        <w:tabs>
          <w:tab w:leader="none" w:pos="215"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DSE Litigation</w:t>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On March 27, 2023, the Company filed a complaint in the United States District Court for the Southern District of New York seeking declaratory judgment against DSE regarding the Company’s right to receive a $300.0 million milestone payment upon inclusion of cardiovascular risk reduction in the EU label that correlates with a relative risk reduction rate of at least 20%, based on the results of the CLEAR Outcomes CVOT.</w:t>
      </w:r>
    </w:p>
    <w:p>
      <w:pPr>
        <w:spacing w:after="0" w:line="19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On January 2, 2024, the Company entered into the Settlement Agreement with DSE to amicably resolve and dismiss the commercial dispute then pending in the Southern District of New York. Under the Settlement Agreement, DSE agreed to pay the Company an aggregate of $125.0 million, including (1) a $100.0-million payment within 15 business days of the effective date of the Settlement Agreement and (2) a $25.0-million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legal action pending in the United States District Court for the Southern District of New York has now been dismissed. Both milestones, totaling $125.0 million, were received in 2024 and included in collaboration revenue on the statements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ANDA Litigation</w:t>
      </w:r>
    </w:p>
    <w:p>
      <w:pPr>
        <w:spacing w:after="0" w:line="23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color w:val="auto"/>
        </w:rPr>
        <w:t>Starting in March 2024, the Company received notices from nine pharmaceutical companies, six of which filed exclusively with respect to NEXLETOL and four of which filed with respect to NEXLETOL and NEXLIZET (each, an “ANDA Filer”), notifying the Company that each company had filed an Abbreviated New Drug Application (“ANDA”) with the FDA seeking approval of a generic version of NEXLETOL and/or NEXLIZET in the United States, as applicable. The ANDAs each contained Paragraph IV certifications alleging that certain of the Company’s Orange Book listed patents covering NEXLETOL or NEXLIZET, as applicable, are invalid and/or will not be infringed by each ANDA Filer’s manufacture, use or sale of the medicine for which the ANDA was submitted.</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Under the Hatch-Waxman Act to the Federal Food, Drug, and Cosmetic Act (the “FDCA”), the Company had 45 days from receipt of the notice letters to commence patent infringement lawsuits against these generic drug manufacturers in a federal district court to trigger a stay precluding the FDA’s approval of any ANDA from being effective any earlier than 7.5 years from the date of approval of the NEXLETOL or NEXLIZET, as applicable, new drug application or entry of judgment holding the patents invalid, unenforceable, or not infringed, whichever occurs first.</w:t>
      </w:r>
    </w:p>
    <w:p>
      <w:pPr>
        <w:spacing w:after="0" w:line="20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Beginning in May 2024, the Company filed patent infringement lawsuits under the Hatch-Waxman Act in the United States District Court, District of New Jersey, against each ANDA Filer: Accord Healthcare Inc.; Alkem Laboratories Ltd.; Aurobindo Pharma Limited (along with an affiliate); Dr. Reddy’s Laboratories Inc. (along with an affiliate); Hetero USA Inc. (along with affiliates); Micro Labs USA Inc. (along with an affiliate); MSN Pharmaceuticals Inc. (along with an affiliate); Renata Limited; and Sandoz Inc. The Company’s complaints allege that by filing the applicable ANDA, such ANDA Filer has infringed NEXLETOL’s and/or NEXLIZET’s Orange Book patents, as applicable, included in its Paragraph IV certifications, and seek an injunction preventing the FDA from granting final approval of the ANDA before the expiration of the asserted patents, and a permanent injunction to prevent the ANDA Filer from commercializing a generic version of NEXLETOL and/or NEXLIZET, as applicable, until the expiration of the asserted patents. The trial is anticipated to begin no earlier than January 2027, but no trial date has been set.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3"/>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was $0.1 million, $0.2 million, and $0.5 million for the years ended December 31, 2024, 2023 and 2022,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Other Accrued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accrued liabilities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3"/>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12,739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10,769</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9,202</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accrued liabilities</w:t>
            </w: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19,593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24,998</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Cash Equivalents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cash equivalents: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w w:val="97"/>
              </w:rPr>
              <w:t>December 31, 2024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6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5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106,894</w:t>
            </w:r>
          </w:p>
        </w:tc>
        <w:tc>
          <w:tcPr>
            <w:tcW w:w="100" w:type="dxa"/>
            <w:vAlign w:val="bottom"/>
          </w:tcPr>
          <w:p>
            <w:pPr>
              <w:spacing w:after="0"/>
              <w:rPr>
                <w:sz w:val="19"/>
                <w:szCs w:val="19"/>
                <w:color w:val="auto"/>
              </w:rPr>
            </w:pPr>
          </w:p>
        </w:tc>
        <w:tc>
          <w:tcPr>
            <w:tcW w:w="1060" w:type="dxa"/>
            <w:vAlign w:val="bottom"/>
          </w:tcPr>
          <w:p>
            <w:pPr>
              <w:jc w:val="right"/>
              <w:ind w:right="88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106,894</w:t>
            </w:r>
          </w:p>
        </w:tc>
      </w:tr>
      <w:tr>
        <w:trPr>
          <w:trHeight w:val="22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403</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107,297</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107,297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Money market funds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Certificates of deposit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3"/>
        </w:trPr>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4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4"/>
              </w:rPr>
              <w:t>Unrealized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4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447"/>
        </w:trPr>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68,445</w:t>
            </w:r>
          </w:p>
        </w:tc>
        <w:tc>
          <w:tcPr>
            <w:tcW w:w="100" w:type="dxa"/>
            <w:vAlign w:val="bottom"/>
          </w:tcPr>
          <w:p>
            <w:pPr>
              <w:spacing w:after="0"/>
              <w:rPr>
                <w:sz w:val="24"/>
                <w:szCs w:val="24"/>
                <w:color w:val="auto"/>
              </w:rPr>
            </w:pP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68,445</w:t>
            </w:r>
          </w:p>
        </w:tc>
      </w:tr>
      <w:tr>
        <w:trPr>
          <w:trHeight w:val="223"/>
        </w:trPr>
        <w:tc>
          <w:tcPr>
            <w:tcW w:w="2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13"/>
        </w:trPr>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68,847</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6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-598170</wp:posOffset>
            </wp:positionV>
            <wp:extent cx="7138035" cy="139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-319405</wp:posOffset>
            </wp:positionV>
            <wp:extent cx="7138035" cy="139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3340" w:space="720"/>
            <w:col w:w="7180"/>
          </w:cols>
          <w:pgMar w:left="320" w:top="123" w:right="339" w:bottom="1440" w:gutter="0" w:footer="0" w:header="0"/>
        </w:sectPr>
      </w:pPr>
    </w:p>
    <w:p>
      <w:pPr>
        <w:jc w:val="both"/>
        <w:ind w:right="200"/>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2024, 2023 and 2022, other income, net in the statements of operations includes interest income on cash equivalents and available-for-sale investments of $7.6 million, $4.4 million and $2.4 million, respectively. During the year ended December 31, 2024, there was no accretion of premiums and discounts on investments. Other income, net in the statements of operations includes accretion of premiums and discounts on investments of $0.4 million during the year ended December 31, 2023 and amortization of premiums and discounts on investments of $0.2 million during the year ended December 31, 2022.</w:t>
      </w:r>
    </w:p>
    <w:p>
      <w:pPr>
        <w:spacing w:after="0" w:line="173"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17"/>
          <w:szCs w:val="17"/>
          <w:color w:val="auto"/>
        </w:rPr>
        <w:t>There were no unrealized gains or losses on investments reclassified from accumulated other comprehensive loss to other income, net in the statements of operations during the years ended December 31, 2024, 2023 and 2022.</w:t>
      </w:r>
    </w:p>
    <w:p>
      <w:pPr>
        <w:spacing w:after="0" w:line="15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In the years ended December 31, 2024, 2023, and 2022, there were no allowances for credit losses and all unrealized gains (losses) for available-for-sale securities were recognized in accumulated other comprehensive loss. As of December 31, 2024, the Company had no accrued interest receivables.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2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1 inputs:</w:t>
            </w: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Quoted prices for identical assets or liabilities in active markets;</w:t>
            </w:r>
          </w:p>
        </w:tc>
      </w:tr>
      <w:tr>
        <w:trPr>
          <w:trHeight w:val="423"/>
        </w:trPr>
        <w:tc>
          <w:tcPr>
            <w:tcW w:w="1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2 inputs:</w:t>
            </w: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Observable inputs other than Level 1 prices, such as quoted market prices for similar assets or liabilities or other inputs that are</w:t>
            </w:r>
          </w:p>
        </w:tc>
      </w:tr>
      <w:tr>
        <w:trPr>
          <w:trHeight w:val="223"/>
        </w:trPr>
        <w:tc>
          <w:tcPr>
            <w:tcW w:w="1600" w:type="dxa"/>
            <w:vAlign w:val="bottom"/>
          </w:tcPr>
          <w:p>
            <w:pPr>
              <w:spacing w:after="0"/>
              <w:rPr>
                <w:sz w:val="19"/>
                <w:szCs w:val="19"/>
                <w:color w:val="auto"/>
              </w:rPr>
            </w:pP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observable or can be corroborated by market data; and</w:t>
            </w:r>
          </w:p>
        </w:tc>
      </w:tr>
      <w:tr>
        <w:trPr>
          <w:trHeight w:val="423"/>
        </w:trPr>
        <w:tc>
          <w:tcPr>
            <w:tcW w:w="1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3 inputs:</w:t>
            </w: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Unobservable inputs that are supported by little or no market activity and require the reporting entity to develop assumptions that</w:t>
            </w:r>
          </w:p>
        </w:tc>
      </w:tr>
      <w:tr>
        <w:trPr>
          <w:trHeight w:val="223"/>
        </w:trPr>
        <w:tc>
          <w:tcPr>
            <w:tcW w:w="1600" w:type="dxa"/>
            <w:vAlign w:val="bottom"/>
          </w:tcPr>
          <w:p>
            <w:pPr>
              <w:spacing w:after="0"/>
              <w:rPr>
                <w:sz w:val="19"/>
                <w:szCs w:val="19"/>
                <w:color w:val="auto"/>
              </w:rPr>
            </w:pP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market participants would use when pricing the asset or liability.</w:t>
            </w:r>
          </w:p>
        </w:tc>
      </w:tr>
      <w:tr>
        <w:trPr>
          <w:trHeight w:val="866"/>
        </w:trPr>
        <w:tc>
          <w:tcPr>
            <w:tcW w:w="1600" w:type="dxa"/>
            <w:vAlign w:val="bottom"/>
          </w:tcPr>
          <w:p>
            <w:pPr>
              <w:spacing w:after="0"/>
              <w:rPr>
                <w:sz w:val="24"/>
                <w:szCs w:val="24"/>
                <w:color w:val="auto"/>
              </w:rPr>
            </w:pPr>
          </w:p>
        </w:tc>
        <w:tc>
          <w:tcPr>
            <w:tcW w:w="9640" w:type="dxa"/>
            <w:vAlign w:val="bottom"/>
          </w:tcPr>
          <w:p>
            <w:pPr>
              <w:ind w:left="3860"/>
              <w:spacing w:after="0"/>
              <w:rPr>
                <w:sz w:val="20"/>
                <w:szCs w:val="20"/>
                <w:color w:val="auto"/>
              </w:rPr>
            </w:pPr>
            <w:r>
              <w:rPr>
                <w:rFonts w:ascii="Times New Roman" w:cs="Times New Roman" w:eastAsia="Times New Roman" w:hAnsi="Times New Roman"/>
                <w:sz w:val="17"/>
                <w:szCs w:val="17"/>
                <w:color w:val="auto"/>
              </w:rPr>
              <w:t>F-21</w:t>
            </w:r>
          </w:p>
        </w:tc>
      </w:tr>
      <w:tr>
        <w:trPr>
          <w:trHeight w:val="109"/>
        </w:trPr>
        <w:tc>
          <w:tcPr>
            <w:tcW w:w="160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that have been measured at fair value on a recurring basis: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between Levels 1, 2 or 3 during the years ended December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26, 2019, the Company entered into a Revenue Interest Purchase Agreement ("RIPA") with Oberland, as agent for purchasers party thereto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and the Purchasers named therein, to obtain financing in respect to the commercialization and further development of bempedoic acid and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bempedoic acid / ezetimibe combination tablet and other working capital needs. Pursuant to the RIPA, the Company received $125.0 million at closing, less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issuance costs. The Company was entitled to receive up to approximately $75.0 million in subsequent installments subject to the terms and conditions set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forth in the RIPA: (i) $25.0 million upon certain regulatory approval of its product candidates and (ii) $50.0 million, at the Company’s option, upon reaching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million trailing worldwide six-month net sales any time prior to December 31, 2021 (the “Third Payment”). In March 2020, the Company received $25.0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from Oberland upon receiving regulatory approval of NEXLETOL.</w:t>
      </w:r>
    </w:p>
    <w:p>
      <w:pPr>
        <w:spacing w:after="0" w:line="18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RIPA Amendments</w:t>
      </w: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19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 (Continued)</w:t>
      </w:r>
    </w:p>
    <w:p>
      <w:pPr>
        <w:spacing w:after="0" w:line="200" w:lineRule="exact"/>
        <w:rPr>
          <w:sz w:val="20"/>
          <w:szCs w:val="20"/>
          <w:color w:val="auto"/>
        </w:rPr>
      </w:pPr>
    </w:p>
    <w:p>
      <w:pPr>
        <w:spacing w:after="0" w:line="2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7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 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$50.0 million from the restricted cash account (the “Partial Call”), (b) the amount of the Cumulative Purchaser Payments (as defined in the RIPA) was reduced to $177.8 million, and (c) the Purchasers and Purchaser Agent waived certain claimed defaults, breaches and Put Option Events under the RIPA and other related documents that may have occurred as a result of the Company’s opening of a new bank account.</w:t>
      </w:r>
    </w:p>
    <w:p>
      <w:pPr>
        <w:spacing w:after="0" w:line="3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On June 27, 2024, the Company repurchased Revenue Interests outstanding under the RIPA and satisfied all other Obligations (as defined in the RIPA) owed to the Purchasers and the Purchaser Agent by paying to the Purchaser Agent, for the benefit of the Purchasers, a payment in cash of $343.8 million (the “Repurchase</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7"/>
          <w:szCs w:val="17"/>
          <w:color w:val="auto"/>
        </w:rPr>
        <w:t>Consideration”). Following the payment of the Repurchase Consideration, (a) all Revenue Interests were deemed to have been repurchased and all Obligations, debts and liabilities of the Company under the RIPA and the Transaction Documents (as defined in the RIPA) were deemed to have been paid and satisfied in full, and automatically released, discharged and terminated, and the RIPA and all other Transaction Documents automatically terminated, and all Liens, security interests and pledges in favor of, granted to or held by the Purchaser Agent to secure the Obligations under the Transaction Documents were automatically terminated and released.</w:t>
      </w:r>
    </w:p>
    <w:p>
      <w:pPr>
        <w:spacing w:after="0" w:line="163"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7"/>
          <w:szCs w:val="17"/>
          <w:color w:val="auto"/>
        </w:rPr>
        <w:t xml:space="preserve">In connection with the termination of the RIPA in accordance with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Company recorded a loss on debt extinguishment of $53.2 million in the loss on extinguishment of debt and exchange transaction line item of the Statements of Operations and Comprehensive Loss for the year ended December 31, 2024.</w:t>
      </w:r>
    </w:p>
    <w:p>
      <w:pPr>
        <w:spacing w:after="0" w:line="1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connection with the termination of the RIPA, as of December 31, 2024, the Company no longer has the liability referred to as the “Revenue interest liability” on the balance sheet. The Company imputed interest expense associated with the liability using the effective interest rate method through the repurchase date of June 27, 2024. The effective interest rate is calculated based on the rate that would enable the debt to be repaid in full over the anticipated life of the arrangement. The interest rate on the liability varied during the term of the agreement depending on a number of factors, including the level of forecasted net sales. The Company evaluated the interest rate quarterly based on its current net sales forecasts utilizing the prospective method.</w:t>
      </w:r>
    </w:p>
    <w:p>
      <w:pPr>
        <w:spacing w:after="0" w:line="173"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The Company recorded approximately $21.6 million, $46.7 million, and $44.6 million in interest expense related to this arrangement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left="2145"/>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revenue interest liability activity during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214630</wp:posOffset>
            </wp:positionV>
            <wp:extent cx="7121525" cy="147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Revenue interest liability at December 31, 2022</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21525" cy="139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Revenue interest payments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Revenue interest liability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7121525" cy="155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7121525" cy="15557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Interest expense recognized</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Revenue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21525" cy="139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Repurchase of Revenue Interests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21525" cy="163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121525" cy="16383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Revenue interest liability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4"/>
          <w:szCs w:val="14"/>
          <w:color w:val="auto"/>
        </w:rPr>
        <w:t>(in thousands)</w:t>
      </w:r>
    </w:p>
    <w:p>
      <w:pPr>
        <w:spacing w:after="0" w:line="50" w:lineRule="exact"/>
        <w:rPr>
          <w:sz w:val="20"/>
          <w:szCs w:val="20"/>
          <w:color w:val="auto"/>
        </w:rPr>
      </w:pPr>
    </w:p>
    <w:p>
      <w:pPr>
        <w:ind w:left="785" w:hanging="785"/>
        <w:spacing w:after="0"/>
        <w:tabs>
          <w:tab w:leader="none" w:pos="78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243,605</w:t>
      </w:r>
    </w:p>
    <w:p>
      <w:pPr>
        <w:spacing w:after="0" w:line="27" w:lineRule="exact"/>
        <w:rPr>
          <w:rFonts w:ascii="Times New Roman" w:cs="Times New Roman" w:eastAsia="Times New Roman" w:hAnsi="Times New Roman"/>
          <w:sz w:val="17"/>
          <w:szCs w:val="17"/>
          <w:color w:val="auto"/>
        </w:rPr>
      </w:pPr>
    </w:p>
    <w:p>
      <w:pPr>
        <w:ind w:left="8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46,679</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(15,506)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9105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13" w:lineRule="exact"/>
        <w:rPr>
          <w:sz w:val="20"/>
          <w:szCs w:val="20"/>
          <w:color w:val="auto"/>
        </w:rPr>
      </w:pPr>
    </w:p>
    <w:p>
      <w:pPr>
        <w:ind w:left="785" w:hanging="785"/>
        <w:spacing w:after="0"/>
        <w:tabs>
          <w:tab w:leader="none" w:pos="78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274,778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9105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5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21,569</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(5,832)</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(343,750)</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53,235</w:t>
      </w:r>
    </w:p>
    <w:p>
      <w:pPr>
        <w:spacing w:after="0" w:line="33" w:lineRule="exact"/>
        <w:rPr>
          <w:sz w:val="20"/>
          <w:szCs w:val="20"/>
          <w:color w:val="auto"/>
        </w:rPr>
      </w:pPr>
    </w:p>
    <w:p>
      <w:pPr>
        <w:ind w:left="1185" w:hanging="1185"/>
        <w:spacing w:after="0"/>
        <w:tabs>
          <w:tab w:leader="none" w:pos="118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9105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ectPr>
          <w:pgSz w:w="11900" w:h="16838" w:orient="portrait"/>
          <w:cols w:equalWidth="0" w:num="2">
            <w:col w:w="9095" w:space="720"/>
            <w:col w:w="1385"/>
          </w:cols>
          <w:pgMar w:left="320" w:top="123" w:right="37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Sale of Future Royalties</w:t>
      </w:r>
    </w:p>
    <w:p>
      <w:pPr>
        <w:spacing w:after="0" w:line="23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7"/>
          <w:szCs w:val="17"/>
          <w:color w:val="auto"/>
        </w:rPr>
        <w:t>On June 27, 2024, the Company entered into the Purchase Agreement with OCM IP Healthcare Portfolio LP ("the Purchaser") ("OMERS"). Pursuant to the Purchase Agreement, the Company sold to the Purchaser, and the Purchaser purchased for $304.7 million, a portion of the royalties payable on net sales of Bempedoic Acid (as defined in the License and Collaboration Agreement) and any other Licensed Products (as defined in the License and Collaboration Agreement) in the DSE Territory (as defined in the License and Collaboration Agreement) pursuant to the License and Collaboration Agreement dated January 2, 2019, between Daiichi Sankyo Europe GMBH and the Company, as amended (the “License and Collaboration Agreement” and such royalties being the “Royalty Interests”). In connection with the Purchase Agreement, the Company incurred $9.6 million in issuance costs.</w:t>
      </w:r>
    </w:p>
    <w:p>
      <w:pPr>
        <w:spacing w:after="0" w:line="205"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7"/>
          <w:szCs w:val="17"/>
          <w:color w:val="auto"/>
        </w:rPr>
        <w:t>The Purchaser acquired 100% of the Royalty Interests until such time as the Purchaser has received an aggregate amount equal to 1.7x of the Purchase Price (equivalent to $517.9 million). Following receipt of such amount, 100% of all Royalty Interests will revert to the Company. The Purchase Agreement contains other customary terms and conditions, including representations and warranties, covenants and indemnification obligations in favor of each party.</w:t>
      </w:r>
    </w:p>
    <w:p>
      <w:pPr>
        <w:spacing w:after="0" w:line="19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 xml:space="preserve">The Company evaluated the arrangement and determined that the proceeds from the sale of future royalties should be treated as a debt instrument according to ASC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The Company imputes interest expense associated with the liability using the effective interest rate method. The effective interest rate is calculated based on the rate that would enable the liability to be repaid in full over the anticipated life of the arrangement. The interest rate on the liability may vary during the term of the agreement depending on a number of factors, including the level of forecasted royalty sales. The Company evaluates the interest rate quarterly based on its expectations of forecasted royalty sales from its license partner, historical experience, third-party forecasts and current market conditions utilizing the prospective method. A significant increase or decrease in future royalty sales will materially impact the royalty sale liability, interest expense and the time period for repayment. The repayment of the royalty sale liability to the Purchaser does not have a fixed repayment schedule. Rather, it will be completely repaid and extinguished when the Company has repaid an aggregate amount equal to 1.7x of the Purchase Price. The $9.6 million in issuance costs will be amortized through interest expense over the life of the agreement. Royalties are remitted to the Purchaser in the subsequent quarter from when it's earned. The Company recognizes those royalties in accounts receivable, net and accounts payable on the Balance Sheets until the royalties are remitted to the Purchaser from DSE.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Company has recorded a liability, referred to as the “Royalty sale liability” on the Balance Sheets, of $293.6 million, net of</w:t>
      </w:r>
    </w:p>
    <w:p>
      <w:pPr>
        <w:spacing w:after="0" w:line="16"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7"/>
          <w:szCs w:val="17"/>
          <w:color w:val="auto"/>
        </w:rPr>
        <w:t>$8.9 million of capitalized issuance costs in connection with the royalty sale liability, which will be amortized to interest expense over the estimated term. The Company currently expects to repay $47.6 million in the next twelve months.</w:t>
      </w:r>
    </w:p>
    <w:p>
      <w:pPr>
        <w:spacing w:after="0" w:line="203"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The Company recorded $24.7 million in interest expense related to this arrangement for the twelve months ended December 31, 2024, including $0.8 million of amortized issuance costs.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annual imputed interest rate is 1.3% as of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royalty sale liability activity during the twelve months ended December 31, 2024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of royalty sale liability on June 27, 2024</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304,656</w:t>
            </w:r>
          </w:p>
        </w:tc>
      </w:tr>
      <w:tr>
        <w:trPr>
          <w:trHeight w:val="220"/>
        </w:trPr>
        <w:tc>
          <w:tcPr>
            <w:tcW w:w="9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Royalty sale issuance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(9,626)</w:t>
            </w:r>
          </w:p>
        </w:tc>
      </w:tr>
      <w:tr>
        <w:trPr>
          <w:trHeight w:val="22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Royalties recognized and settled to Purchaser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(26,077)</w:t>
            </w:r>
          </w:p>
        </w:tc>
      </w:tr>
      <w:tr>
        <w:trPr>
          <w:trHeight w:val="220"/>
        </w:trPr>
        <w:tc>
          <w:tcPr>
            <w:tcW w:w="9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expense recognized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24,657</w:t>
            </w:r>
          </w:p>
        </w:tc>
      </w:tr>
      <w:tr>
        <w:trPr>
          <w:trHeight w:val="23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royalty sale liability at December 31, 2024</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0" w:name="page131"/>
    <w:bookmarkEnd w:id="13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4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On December 13, 2024, the Company entered into a credit agreement (the “Credit Agreement”) with GLAS USA LLC, as administrative agent, and Athyrium Opportunities IV Co-Invest 1 LP, HCR Stafford Fund II, L.P., HCR Potomac Fund II, L.P. and HCRX Investments HoldCo, L.P., as the initial lenders party thereto. The Credit Agreement provides for a $150.0 million term loan (the “Loan”), which was borrowed in full at closing. Proceeds from the Loan were used to repay a portion of the outstanding obligations under the Company’s existing $265.0 million aggregate principal amount 4.00% Convertible Senior Subordinated Notes due November 2025 (the “2025 Notes”) and to pay fees and expenses in connection with the Credit Agreement.</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Loan will bear interest at an annual rate of 9.75% if paid in cash, and 11.75% if paid-in-kind. At the Company’s option, interest on the Loan may be paid-in-kind for the first four full fiscal quarters ending after the closing date. The Credit Agreement requires quarterly interest-only payments for the first four years after the closing date and, thereafter, the Loan will partially amortize in quarterly principal payments of 12.50%, with the outstanding balance to be repaid on the maturity date, which shall be five (5) years after the closing date (the “Maturity Date”); provided that, such amortization may be adjusted pursuant to the terms of the Credit agreement. The Company may, at its option, prepay the Loan in whole or in part at any time, subject to concurrent payment of certain fees and, if prepaid (a) within the first two years after closing, a make-whole premium plus 3%, (b) after the second anniversary of closing and on or prior to the third anniversary, a prepayment premium of 3% and (c) after the third anniversary of closing and on or prior to the fourth anniversary, a prepayment premium of 1% (the “Prepayment Premium”). The Loan is subject to mandatory prepayment in the event of specified asset dispositions, extraordinary receipts, unpermitted debt issuances, change of control, and, in certain circumstances, failure to settle the exchanges of the Company’s Existing Notes, subject to certain exceptions and thresholds and concurrent payment of certain fees and, if prepaid within the first four years of closing, the applicable Prepayment Premium.</w:t>
      </w:r>
    </w:p>
    <w:p>
      <w:pPr>
        <w:spacing w:after="0" w:line="2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All obligations under the Credit Agreement shall be guaranteed by the Company’s present and future wholly owned subsidiaries, subject to customary exceptions, and secured by assets of Company and the guarantors, including the equity interests in the Company’s subsidiaries, subject to customary exceptions. The Credit Agreement contains a financial covenant to maintain minimum liquidity of $50 million. The Credit Agreement contains affirmative and negative covenants customary for a senior secured loan. The negative covenants under the Credit Agreement limit the ability of the Company and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exceptions.</w:t>
      </w:r>
    </w:p>
    <w:p>
      <w:pPr>
        <w:spacing w:after="0" w:line="20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Credit Agreement also contains certain customary events of default, including, but not limited to, a failure to comply with the covenants in the Credit Agreement. If an event of default has occurred and continues beyond any applicable cure period, the administrative agent or the required lenders may accelerate all outstanding obligations under the Credit Agreement and/or exercise any other remedies provided under the loan documents.</w:t>
      </w:r>
    </w:p>
    <w:p>
      <w:pPr>
        <w:spacing w:after="0" w:line="19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connection with the borrowing of the Loan, the Company incurred 2.5% of original issue discount ("OID"), or approximately $3.8 million. In addition, the Company incurred debt issuance costs of $5.4 million in connection with the borrowing of the Loan. Both the OID and debt issuance costs were capitalized and included in long-term debt on the Balance Sheets at the inception of the Loan, and are being amortized to interest expense using the effective interest method over the same term. As of December 31, 2024, the Company recognized $141.0 million of long-term debt related to the Credit Agreement on the Balance Sheets, net of the remaining unamortized discount and debt issuance costs associated with the Loan of $3.7 million and $5.3 million, respectively. During the year ended December 31, 2024, the Company recognized $0.8 million of interest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Notes</w:t>
      </w:r>
    </w:p>
    <w:p>
      <w:pPr>
        <w:spacing w:after="0" w:line="222"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311"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7"/>
          <w:szCs w:val="17"/>
          <w:color w:val="auto"/>
        </w:rPr>
        <w:t>Company (the “2025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2025 Notes are the Company's senior unsecured obligations and mature on November 15, 2025 (the “Maturity Date”), unless earlier repurchased or converted into shares of common stock under certain circumstances described below. The 2025 Notes are convertible into shares of the Company’s common stock, can be repurchased for cash, or a combination thereof, at the Company’s election, at an initial conversion rate of 30.2151 shares of common stock per $1,000 principal amount of the 2025 Notes, which is equivalent to an initial conversion price of approximately $33.096 per share of common stock, subject to adjustment. The Company will pay interest on the 2025 Notes semi-annually in arrears on May 15 and November 15 of each year.</w:t>
      </w:r>
    </w:p>
    <w:p>
      <w:pPr>
        <w:spacing w:after="0" w:line="2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Holders may convert their 2025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85" w:lineRule="exact"/>
        <w:rPr>
          <w:sz w:val="20"/>
          <w:szCs w:val="20"/>
          <w:color w:val="auto"/>
        </w:rPr>
      </w:pPr>
    </w:p>
    <w:p>
      <w:pPr>
        <w:jc w:val="both"/>
        <w:ind w:right="740"/>
        <w:spacing w:after="0" w:line="270" w:lineRule="auto"/>
        <w:rPr>
          <w:sz w:val="20"/>
          <w:szCs w:val="20"/>
          <w:color w:val="auto"/>
        </w:rPr>
      </w:pPr>
      <w:r>
        <w:rPr>
          <w:rFonts w:ascii="Times New Roman" w:cs="Times New Roman" w:eastAsia="Times New Roman" w:hAnsi="Times New Roman"/>
          <w:sz w:val="17"/>
          <w:szCs w:val="17"/>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2025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7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6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On October 22, 2021, the Company entered into a privately negotiated exchange agreement (the “2021 Exchange Agreement”) with two co-managed holders (the “Holders”) of its 2025 Notes. Under the terms of the 2021 Exchange Agreement the Holders agreed to exchange (the “2021 Exchange”) with the Company $15.0 million aggregate principal amount of the Convertible Notes held in the aggregate by them (and accrued interest thereon) for shares of the Company’s common stock. Pursuant to the 2021 Exchange Agreement, the number of shares of common stock to be issued by the Company to the Holders upon consummation of the 2021 Exchange was determined based upon the volume-weighted-average-price per share of common stock, subject to a floor of $5.62 per share, during the five trading-day averaging period, commencing on the trading day immediately following the date of the 2021 Exchange Agreement. The 2021 Exchange closed on November 3, 2021 with 1,094,848 shares of the Company's common stock being exchanged.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3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December 12, 2024, the Company entered into privately negotiated exchange and subscription agreements with certain holders of its 4.00% Convertible Senior Subordinated Notes due 2025 (the “2025 Notes”) pursuant to which the Company issued $100.0 million aggregate principal amount of 5.75% Convertible Senior Subordinated Notes due in June 2030 (the “2030 Notes”) consisting of (a) approximately $57.5 million principal amount of 2030 Notes, along with approximately $153.4 million in cash, including accrued interest, issued in exchange for approximately $210.1 million principal amount of 2025 Notes (the “Exchange Transaction”). The Company also issued and sold approximately $42.5 million aggregate principal amount of 2030 Notes for cash, pursuant to privately negotiated agreements (the “Subscription Transactions” and, together with the Exchange Transaction, the “Transaction”). The Exchange Transaction closed on December 17, 2024 under an Indenture between the Company and U.S. Bank Trust Company, National Association, as trustee. In exchange for issuing the 2030 Notes pursuant to the Exchange Transaction, the Company received and cancelled the exchanged 2025 Notes.</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The Company accounted for the Exchange as an extinguishment of a liability and calculated the loss on extinguishment of debt under ASC 470-50-40, which requires the difference between the reacquisition price of the debt and the net carrying amount of the extinguished debt to be recognized in the income statement. The reacquisition price of the 2025 Notes was the amount of principal exchanged. The net carrying amount of the debt was calculated by the face value of the notes less the unamortized debt issuance costs associated with the face value of the notes. The Company recognized a loss of $1.7 million in "Loss on extinguishment of debt and exchange transaction" on the Statements of Operations and Comprehensive Loss during the year ended December 31, 2024.</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As of December 31, 2024, the principal amount of 2025 notes was $54.9 million, and the unamortized debt issuance costs were $0.3 million, for a net carrying amount of $54.6 million. As of December 31, 2023, the principal amount of 2025 notes was $265.0 million, and the unamortized debt discount and issuance costs were $3.4 million, for a net carrying amount of $261.6 million.</w:t>
      </w:r>
    </w:p>
    <w:p>
      <w:pPr>
        <w:spacing w:after="0" w:line="204"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17"/>
          <w:szCs w:val="17"/>
          <w:color w:val="auto"/>
        </w:rPr>
        <w:t>The Company recorded $12.0 million, $12.3 million, and $12.2 million of interest expense during the years ended December 31, 2024, 2023, and 2022, respectively, relating to the cash interest on the 2025 notes due semi-annually and amortization of the debt issuance costs.</w:t>
      </w:r>
    </w:p>
    <w:p>
      <w:pPr>
        <w:spacing w:after="0" w:line="17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7"/>
          <w:szCs w:val="17"/>
          <w:color w:val="auto"/>
        </w:rPr>
        <w:t>As of December 31, 2024, no 2025 Notes were convertible pursuant to their terms. The estimated fair value of the 2025 Notes was $53.2 million as of December 31, 2024 and $155.9 million as of December 31, 2023. The estimated fair value of the 2025 Notes was determined through consideration of quoted market prices. As of December 31, 2024, the if-converted value of the 2025 Notes did not exceed the principal value of those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2030 Notes</w:t>
      </w:r>
    </w:p>
    <w:p>
      <w:pPr>
        <w:spacing w:after="0" w:line="23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As noted above, the Company issued $100 million aggregate principal amount of 5.75% Convertible Senior Subordinated Notes due 2030 (the “2030 Notes”) on December 17, 2024. The Company incurred approximately $3.3 million of issuance costs associated with the 2030 Notes.</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2030 Notes mature on June 15, 2030, unless earlier converted, redeemed or repurchased. The 2030 Notes are the Company’s senior unsecured obligations and will pay interest on the 2030 Notes at an annual rate of 5.75% payable in cash semiannually in arrears on June 15 and December 15 of each year, beginning June 15, 2025. Before March 15, 2030, holders of the 2030 Notes will have the right to convert their notes only upon the occurrence of certain events. From and after March 15, 2030, holders may convert their notes at any time at their election until the close of business on the second scheduled trading day immediately before the maturity date. The Company will have the right to elect to settle conversions by paying or delivering, as applicable, cash, shares of its common stock or a combination of cash and shares of its common stock. The initial conversion rate is 326.7974 shares of common stock per $1,000 principal amount of notes, which represents an initial conversion price of approximately $3.06 per share of common stock. The conversion rate and conversion price will be subject to adjustment upon the occurrence of certain events. The indenture governing the 2030 Notes includes certain restrictive covenants that limits the Company’s ability to incur additional indebtedness, subject to certain exceptions.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2030 Notes will be redeemable, in whole or in part, for cash at the Company’s option at any time, and from time to time, on or after December 20, 2027 and prior to the forty-first (41st) scheduled trading day immediately before the maturity date, but only if the last reported sale price per share exceeds 130% of the conversion price for a specified period of time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311"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certain other conditions are satisfied. The redemption price will be equal to the principal amount of the 2030 Notes to be redeemed, plus accrued and unpaid interest, if any, to, but excluding, the redemption date.</w:t>
      </w:r>
    </w:p>
    <w:p>
      <w:pPr>
        <w:spacing w:after="0" w:line="17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 addition, if the Company undergoes a “fundamental change” (as defined in the Indenture), subject to certain conditions, holders may require the Company to repurchase for cash all or part of their 2030 Notes in principal amounts of $1,000 or an integral multiple thereof. The repurchase price will be equal to the principal amount of the 2030 Notes to be repurchased, plus accrued and unpaid interest, if any, to, but excluding, the applicable repurchase date.</w:t>
      </w:r>
    </w:p>
    <w:p>
      <w:pPr>
        <w:spacing w:after="0" w:line="19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Indenture provides for customary events of default, including payment defaults, breaches of covenants, failure to pay certain judgments and certain events of bankruptcy, insolvency and reorganization. If an event of default occurs and is continuing, the principal amount of the 2030 Notes, plus accrued and unpaid interest, if any, may be declared immediately due and payable, subject to certain conditions set forth in the Indenture. These amounts automatically become due and payable if an event of default relating to certain events of bankruptcy, insolvency or reorganization occurs.</w:t>
      </w:r>
    </w:p>
    <w:p>
      <w:pPr>
        <w:spacing w:after="0" w:line="18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As of December 31, 2024, the principal amount of 2030 notes was $100.0 million, and the unamortized debt issuance costs were $3.3 million, for a net carrying amount of $96.7 million.</w:t>
      </w:r>
    </w:p>
    <w:p>
      <w:pPr>
        <w:spacing w:after="0" w:line="190"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The Company recorded $0.2 million of interest expense during the years ended December 31, 2024 relating to the cash interest on the 2030 notes due semi-annually and amortization of the debt issuance costs.</w:t>
      </w:r>
    </w:p>
    <w:p>
      <w:pPr>
        <w:spacing w:after="0" w:line="17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As of December 31, 2024, no 2030 Notes were convertible pursuant to their terms. The estimated fair value of the 2030 Notes was $105.4 million as of December 31, 2024. The estimated fair value of the 2030 Notes was determined through consideration of quoted market prices. As of December 31, 2024, the if-converted value of the 2030 Notes did not exceed the principal value of those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in compliance with all of its covenants at December 31,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future principal payments due under the Loan, 2025 Notes and 2030 Notes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40" w:type="dxa"/>
            <w:vAlign w:val="bottom"/>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520" w:type="dxa"/>
            <w:vAlign w:val="bottom"/>
          </w:tcPr>
          <w:p>
            <w:pPr>
              <w:spacing w:after="0"/>
              <w:rPr>
                <w:sz w:val="19"/>
                <w:szCs w:val="19"/>
                <w:color w:val="auto"/>
              </w:rPr>
            </w:pPr>
          </w:p>
        </w:tc>
        <w:tc>
          <w:tcPr>
            <w:tcW w:w="2380" w:type="dxa"/>
            <w:vAlign w:val="bottom"/>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20"/>
        </w:trPr>
        <w:tc>
          <w:tcPr>
            <w:tcW w:w="3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54,912</w:t>
            </w:r>
          </w:p>
        </w:tc>
      </w:tr>
      <w:tr>
        <w:trPr>
          <w:trHeight w:val="220"/>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2027</w:t>
            </w:r>
          </w:p>
        </w:tc>
        <w:tc>
          <w:tcPr>
            <w:tcW w:w="5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2028</w:t>
            </w:r>
          </w:p>
        </w:tc>
        <w:tc>
          <w:tcPr>
            <w:tcW w:w="5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18,750</w:t>
            </w:r>
          </w:p>
        </w:tc>
      </w:tr>
      <w:tr>
        <w:trPr>
          <w:trHeight w:val="220"/>
        </w:trPr>
        <w:tc>
          <w:tcPr>
            <w:tcW w:w="32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2029</w:t>
            </w:r>
          </w:p>
        </w:tc>
        <w:tc>
          <w:tcPr>
            <w:tcW w:w="5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131,250</w:t>
            </w:r>
          </w:p>
        </w:tc>
      </w:tr>
      <w:tr>
        <w:trPr>
          <w:trHeight w:val="220"/>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2030</w:t>
            </w:r>
          </w:p>
        </w:tc>
        <w:tc>
          <w:tcPr>
            <w:tcW w:w="5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13"/>
        </w:trPr>
        <w:tc>
          <w:tcPr>
            <w:tcW w:w="32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304,912</w:t>
            </w:r>
          </w:p>
        </w:tc>
      </w:tr>
      <w:tr>
        <w:trPr>
          <w:trHeight w:val="20"/>
        </w:trPr>
        <w:tc>
          <w:tcPr>
            <w:tcW w:w="3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Capped Call Transactions</w:t>
      </w:r>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the offering of the 2025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2025 Notes to pay the cost of the capped call transactions. The capped call transactions are expected generally to reduce potential dilution to the Company’s common stock upon any conversion of the 2025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2025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2025 Notes.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Debt (Continued)</w:t>
      </w:r>
    </w:p>
    <w:p>
      <w:pPr>
        <w:spacing w:after="0" w:line="200" w:lineRule="exact"/>
        <w:rPr>
          <w:sz w:val="20"/>
          <w:szCs w:val="20"/>
          <w:color w:val="auto"/>
        </w:rPr>
      </w:pPr>
    </w:p>
    <w:p>
      <w:pPr>
        <w:spacing w:after="0" w:line="31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Given that the transactions meet certain accounting criteria, the convertible note capped call transactions are recorded in stockholders’ deficit, and they are not accounted for as derivatives and are not remeasured each reporting period. As of December 31, 2024, the Company had not purchased any shares under the convertible note capped call transactions.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Prepaid Forward</w:t>
      </w:r>
    </w:p>
    <w:p>
      <w:pPr>
        <w:spacing w:after="0" w:line="2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connection with the offering of the 2025 Notes, the Company entered into a prepaid forward stock repurchase transaction (“Prepaid Forward”) with a financial institution (“Forward Counterparty”). Pursuant to the Prepaid Forward, the Company used approximately $55.0 million of the net proceeds from the offering of the 2025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December 31, 2024, 448,698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Stockholders' Deficit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Underwriting Agreement</w:t>
      </w:r>
    </w:p>
    <w:p>
      <w:pPr>
        <w:spacing w:after="0" w:line="23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7"/>
          <w:szCs w:val="17"/>
          <w:color w:val="auto"/>
        </w:rPr>
        <w:t>On January 18, 2024, the Company entered into the Underwriting Agreement with Jefferies, as representative of the Underwriters, related to the January 2024 Offering of 56,700,000 shares of Common Stock of the Company,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January 2024 Offering closed on January 23, 2024, with proceeds to the Company of approximately $90.7 million, after deducting the underwriting discount and estimated offering expenses of $7.1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ATM Offering</w:t>
      </w:r>
    </w:p>
    <w:p>
      <w:pPr>
        <w:spacing w:after="0" w:line="2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On April 15, 2022, the Company filed a new registration statement on Form S-3 to replace its prior automatically effective registration statement on Form S-3ASR filed on August 3, 2021, which registered the offering, issuance and sale of up to $239 million of common stock from time to time in “at-the-market” offerings (the “New ATM Program”). On February 21, 2023, the Company terminated the Open Market Sales Agreement with Jefferies LLC and entered into a Controlled Equity Offering Sales Agreement with Cantor Fitzgerald &amp; Co., as sales agent, to provide for the issuance and sale by the Company of up to $70 million of shares of the Company's common stock from time to time in “at-the-market” offerings (the "2023 ATM Program"), pursuant to its existing Form S-3 and the prospectus supplement to be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year ended December 31, 2023, the Company issued 3,312,908 shares of common stock resulting in net proceeds of approximately $4.4 million after deducting $0.4 million of underwriting discounts and commissions and other expenses, pursuant to the 2023 ATM Program. During the year ended December 31, 2024, the Company issued 378,902 shares of common stock resulting in net proceeds of approximately $0.5 million after deducting approximately $0.2 million of commissions and other expenses, pursuant to the 2023 ATM Program.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Stockholders' Deficit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4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connection with an underwriting agreement with H.C. Wainwright &amp; Co., LLC ("Wainwright") on December 2, 2021, the Company issued warrants to purchase 36,964,286 shares of common stock at an exercise price of $9.00 and an expiration date of December 7, 2023. The warrants were recorded at fair value of</w:t>
      </w:r>
    </w:p>
    <w:p>
      <w:pPr>
        <w:ind w:right="100"/>
        <w:spacing w:after="0" w:line="260" w:lineRule="auto"/>
        <w:rPr>
          <w:sz w:val="20"/>
          <w:szCs w:val="20"/>
          <w:color w:val="auto"/>
        </w:rPr>
      </w:pPr>
      <w:r>
        <w:rPr>
          <w:rFonts w:ascii="Times New Roman" w:cs="Times New Roman" w:eastAsia="Times New Roman" w:hAnsi="Times New Roman"/>
          <w:sz w:val="17"/>
          <w:szCs w:val="17"/>
          <w:color w:val="auto"/>
        </w:rPr>
        <w:t>$61.9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Registered Direct Offering and Warrant Amendment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19, 2023, the Company entered into a Purchase Agreement with the Purchasers pursuant to which the Company agreed to issue and sell, in a Registered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 Offering, 12,205,000 shares of its Common Stock, par value $0.001 per share, Pre-Funded Warrants to purchase up to an aggregate of 20,965,747 shares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in lieu of shares of Common Stock, and Warrants to purchase up to 33,170,747 shares of Common Stock. The combined purchase price of each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of Common Stock and accompanying Warrant is $1.675 per share. The Warrants expire on September 22, 2026 and have an exercise price of $1.55.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of each Pre-Funded Warrant is $1.674 (equal to the combined purchase price per share of Common Stock and accompanying Warrant, minus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The Purchase Agreement contains customary representations, warranties, covenants and indemnification rights and obligations of the Company and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 The Registered Direct Offering closed on March 22, 2023. The warrants and pre-funded warrants were recorded at fair value of $22.8 million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additional-paid-in-capital in accordance with ASC 815-10 based upon the allocation of the proceeds between the common shares issued with the Registered Direct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and the warrants and pre-funded warrants. The Company estimated the fair value of the warrants using a Black-Scholes option-pricing model, which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in part, upon subjective assumptions including but not limited to stock price volatility, the expected life of the warrant, the risk-free interest rate and the fair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the common stock underlying the warrant. The Company estimates the volatility based on its historical volatility that is in line with the expected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remaining life of the warrants. The risk-free interest rate is based on the U.S. Treasury daily rate for a maturity similar to the expected remaining life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The expected remaining life of the warrants is assumed to be equivalent to its remaining contractual term. The Company estimated the fair value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pre-funded warrants based on the market price of the Company's common stock at issuance.</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connection with the Registered Direct Offering, the Company amended, pursuant to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spacing w:after="0" w:line="2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estimated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186"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7"/>
          <w:szCs w:val="17"/>
          <w:color w:val="auto"/>
        </w:rPr>
        <w:t>During the year ended December 31, 2024, 10,272,783 shares of warrants were exercised. During the year ended December 31, 2023, 20,965,747 shares of pre-funded warrants were exercised and 5,850,747 shares of warrants were exercised. As of December 31, 2024 and 2023, no pre-funded warrants were outstanding. The following table summarizes the warrants outstanding for the Company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Stockholders' Deficit (Continued)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5640" w:type="dxa"/>
            <w:vAlign w:val="bottom"/>
          </w:tcPr>
          <w:p>
            <w:pPr>
              <w:spacing w:after="0"/>
              <w:rPr>
                <w:sz w:val="17"/>
                <w:szCs w:val="17"/>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40" w:type="dxa"/>
            <w:vAlign w:val="bottom"/>
          </w:tcPr>
          <w:p>
            <w:pPr>
              <w:spacing w:after="0"/>
              <w:rPr>
                <w:sz w:val="17"/>
                <w:szCs w:val="17"/>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233"/>
        </w:trPr>
        <w:tc>
          <w:tcPr>
            <w:tcW w:w="564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168"/>
        </w:trPr>
        <w:tc>
          <w:tcPr>
            <w:tcW w:w="56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Warrants outstanding from Warrant Amendment Agreements, expiring</w:t>
            </w:r>
          </w:p>
        </w:tc>
        <w:tc>
          <w:tcPr>
            <w:tcW w:w="1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September 22, 2026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6,071,429</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9,024,212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Warrants outstanding from Purchase Agreement, expiring September 22, 2026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20,000,000</w:t>
            </w: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27,320,000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warrants outstanding</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26,071,429</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36,344,212</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Stock Option and Incentive Plan</w:t>
      </w:r>
    </w:p>
    <w:p>
      <w:pPr>
        <w:spacing w:after="0" w:line="2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 Following the approval of the 2022 Plan, no further awards will be issued under the Company’s 2013 Stock Option and Incentive Plan (the “2013 Plan”). In June 2023, the Company's stockholders approved an amendment to the 2022 Plan, which increased the number of shares of common stock reserved for awards under the 2022 Plan to 10,650,000. In May 2024, the Company's stockholders approved a second amendment to the 2022 Plan, which increased the number of shares of Common Stock reserved for awards under the 2022 Plan to 16,900,000.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2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In April 2020, the board of directors approved the Esperion Therapeutics, Inc. 2020 Employee Stock Purchase Plan (the "ESPP") which was approved by the Company's shareholders on May 28, 2020. In May 2024, the Company's stockholders approved a second amendment to the ESPP, which increased the number of shares of Common Stock reserved for future issuance under the ESPP by an additional 6,175,000 shares.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The Company paused the ESPP effective as of September 1, 2023, such that the offering period which would otherwise have begun on September 1, 2023 did not commence. The Company resumed the ESPP effective as of September 1, 2024, such that the offering period commenced on September 1, 2024. During the years ended December 31, 2024, 2023 and 2022, the Company recognized</w:t>
      </w:r>
    </w:p>
    <w:p>
      <w:pPr>
        <w:spacing w:after="0" w:line="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$0.2 million, $0.3 million and $0.4 million of stock compensation expense related to the ESPP, respectively. As of December 31, 2024, there have been 610,506 shares issued and 6,389,494 shares reserved for future issuance under the ESPP.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 Inducement Equity Plan</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2013 Stock Option and Incentive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May 2015, the Company’s stockholders approved the amended and restated 2013 Plan which, among other things, increased the number of shares of common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reserved for issuance thereunder. The number of shares of common stock available for awards under the 2013 Plan was increased by 923,622 shares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2,051,378 shares to 2,975,000 shares, plus (i) shares of common stock that are forfeited, cancelled, held back upon the exercise or settlement of an award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the exercise price or tax withholding, reacquired by the Company prior to vesting, satisfied without the issuance of common stock or otherwise terminated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by exercise) under the 2013 Plan and the Company’s 2008 Incentive Stock Option and Restricted Stock Plan are added back to the shares of common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available for issuance under the 2013 Plan, and (ii) on January 1, 2016, and each January 1, thereafter, the number of shares of common stock reserved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available for issuance under the 2013 Plan will be cumulatively increased by 2.5% of the number of shares of common stock outstanding on the immediately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preceding December 31, or such lesser number of shares of common stock determined by the compensation committee. The 2013 Plan provides for the granting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options, stock appreciation rights, restricted stock awards, RSUs, unrestricted stock awards, cash-based awards, performance share awards and dividend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equivalent rights.</w:t>
      </w:r>
    </w:p>
    <w:p>
      <w:pPr>
        <w:spacing w:after="0" w:line="20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 incurs stock-based compensation expense related to stock options, performance-based stock options ("PBSOs"), RSUs and performance-based restricted stock units ("PBRSUs"). The fair value of RSUs and PBRSUs is determined by the closing market price of the Company’s common stock on the date of grant. The fair value of stock options and PBSOs is calculated using a Black-Scholes option-pricing model. Compensation costs related to equity instruments granted are recognized over the requisite service periods of the awards on a straight-line basis at the grant-date fair value. The Company accounts for forfeitures as they occur.</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2022 Plan, 2017 Plan, and 2013 Plan the vesting of options granted or restricted awards given will be determined individually with each option grant. Generally, 25% of the granted amount will vest upon the first anniversary of the option grant with the remainder vesting ratably on the first day of each calendar quarter for the following three years. Stock options have a 10-year life and expire if not exercised within that period, or if not exercised within 90 days of cessation of providing service to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options to purchase common stock for the year ended December 31, 2024:</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6"/>
                <w:szCs w:val="16"/>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4"/>
        </w:trPr>
        <w:tc>
          <w:tcPr>
            <w:tcW w:w="4500" w:type="dxa"/>
            <w:vAlign w:val="bottom"/>
          </w:tcPr>
          <w:p>
            <w:pPr>
              <w:spacing w:after="0"/>
              <w:rPr>
                <w:sz w:val="16"/>
                <w:szCs w:val="16"/>
                <w:color w:val="auto"/>
              </w:rPr>
            </w:pPr>
          </w:p>
        </w:tc>
        <w:tc>
          <w:tcPr>
            <w:tcW w:w="15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23"/>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3,686,191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20"/>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 or cancelled (vested and unvested)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5,177,511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5,177,511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3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2,644,916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8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total pre-tax intrinsic value of stock options exercised during the year ended December 31, 2024 was less than $0.1 million. No stock options were exercised during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1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following table shows the weighted-average assumptions used to compute the stock-based compensation costs for the stock options granted to employees during each of the two years ending December 31, 2024, using the Black-Scholes option-pricing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36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2.26 %</w:t>
            </w:r>
          </w:p>
        </w:tc>
        <w:tc>
          <w:tcPr>
            <w:tcW w:w="100" w:type="dxa"/>
            <w:vAlign w:val="bottom"/>
            <w:shd w:val="clear" w:color="auto" w:fill="CCEEFF"/>
          </w:tcPr>
          <w:p>
            <w:pPr>
              <w:spacing w:after="0"/>
              <w:rPr>
                <w:sz w:val="18"/>
                <w:szCs w:val="18"/>
                <w:color w:val="auto"/>
              </w:rPr>
            </w:pP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expected life of options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19"/>
                <w:szCs w:val="19"/>
                <w:color w:val="auto"/>
              </w:rPr>
            </w:pP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tcPr>
          <w:p>
            <w:pPr>
              <w:spacing w:after="0"/>
              <w:rPr>
                <w:sz w:val="19"/>
                <w:szCs w:val="19"/>
                <w:color w:val="auto"/>
              </w:rPr>
            </w:pPr>
          </w:p>
        </w:tc>
      </w:tr>
    </w:tbl>
    <w:p>
      <w:pPr>
        <w:spacing w:after="0" w:line="2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risk-free interest rate assumption was based on the United States Treasury’s rates for U.S. Treasury zero-coupon bonds with maturities similar to those of the expected term of the award being valued. The assumed dividend yield was based on the Company’s expectation of not paying dividends in the foreseeable future. The weighted-average expected life of the options was calculated using the simplified method as prescribed by the Securities and Exchange Commission Staff Accounting Bulletin No. 107 (“SAB No. 107”). This decision was based on the lack of relevant historical data due to the Company’s limited historical experience. The Company estimates volatility based on the Company's historical stock prices over the expected life of the stock options.</w:t>
      </w:r>
    </w:p>
    <w:p>
      <w:pPr>
        <w:spacing w:after="0" w:line="1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weighted-average grant-date fair values of stock options granted during the years ended December 31, 2024, 2023 and 2022 were $1.55, $2.51 and $3.38, respectively. The total fair value of shares vested during the years ended December 31, 2024 and 2023 was $4.1 million and $4.1 million, respectively. During the years ended December 31, 2024, 2023 and 2022 the Company recognized stock-based compensation expense related to stock options of $4.1 million, $3.8 million and $5.6 million, including $0.3 million, $0.2 million and $0.6 million that was capitalized into inventory, respectively.</w:t>
      </w:r>
    </w:p>
    <w:p>
      <w:pPr>
        <w:spacing w:after="0" w:line="17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As of December 31, 2024, there was approximately $4.8 million of unrecognized compensation cost related to unvested options, which will be recognized over a weighted-average period of approximately 2.3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RSUs for the year ended December 31, 2024:</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900" w:type="dxa"/>
            <w:vAlign w:val="bottom"/>
          </w:tcPr>
          <w:p>
            <w:pPr>
              <w:spacing w:after="0"/>
              <w:rPr>
                <w:sz w:val="15"/>
                <w:szCs w:val="15"/>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4"/>
        </w:trPr>
        <w:tc>
          <w:tcPr>
            <w:tcW w:w="790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8"/>
        </w:trPr>
        <w:tc>
          <w:tcPr>
            <w:tcW w:w="7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3,047,888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3,583,225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20"/>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(572,557)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0"/>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(1,611,482)</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4,447,074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years ended December 31, 2024, 2023 and 2022, the Company recognized stock-based compensation expense related to RSUs of $7.0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$0.5 million that was capitalized into inventory, $6.6 million, including $0.4 million that was capitalized into inventory, and $6.6 million including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$0.7 million that was capitalized into inventory, respectively. The total fair value of shares vested during the years ended December 31, 2024 and 2023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 million and $1.9 million, respectively. As of December 31, 2024, there was approximately $11.6 million of unrecognized stock-based compensation expense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unvested RSUs, which will be recognized over a weighted-average period of approximately 2.4 years.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Restricted Stock Units ("PBRSUs")</w:t>
      </w:r>
    </w:p>
    <w:p>
      <w:pPr>
        <w:spacing w:after="0" w:line="2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performance criteria was met in three months ended March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PBRSUs for the year ended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70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9"/>
              </w:rPr>
              <w:t>Numbers of</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4"/>
        </w:trPr>
        <w:tc>
          <w:tcPr>
            <w:tcW w:w="5860" w:type="dxa"/>
            <w:vAlign w:val="bottom"/>
          </w:tcPr>
          <w:p>
            <w:pPr>
              <w:spacing w:after="0"/>
              <w:rPr>
                <w:sz w:val="16"/>
                <w:szCs w:val="16"/>
                <w:color w:val="auto"/>
              </w:rPr>
            </w:pPr>
          </w:p>
        </w:tc>
        <w:tc>
          <w:tcPr>
            <w:tcW w:w="170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7"/>
              </w:rPr>
              <w:t>PBRSU's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58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2023</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20"/>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4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2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(156,375)</w:t>
            </w:r>
          </w:p>
        </w:tc>
        <w:tc>
          <w:tcPr>
            <w:tcW w:w="4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1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8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Stock-based compensation related to the PBRSUs was approximately $0.2 million, including less than $0.1 million that was capitalized into inventory, for the year ended December 31, 2024. Stock-based compensation related to the PBRSUs was approximately $0.4 million, including less than $0.1 million that was capitalized into inventory, for the year ended December 31, 2023. Stock-based compensation related to PBRSUs was approximately $1.8 million, including $0.2 million that was capitalized into inventory, for the year ended December 31, 2022. The total fair value of shares vested during the years ended December 31, 2024 and 2023 was $0.4 million and $1.3 million, respectively. As of December 31, 2024, there were no outstanding and unvested PBRSUs.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stock options ("PBSOs")</w:t>
      </w:r>
    </w:p>
    <w:p>
      <w:pPr>
        <w:spacing w:after="0" w:line="22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fair value of the PBSOs is based on the Black Scholes model as detailed in the stock option section above. The performance criteria was met in three months ended March 31, 2024. The weighted-average grant-date fair value of PBSOs granted during the years ended December 31, 2023 and December 31, 2022 was $1.14 and $4.36,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 Compensation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performance-based stock options for the year ended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6"/>
                <w:szCs w:val="16"/>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4"/>
        </w:trPr>
        <w:tc>
          <w:tcPr>
            <w:tcW w:w="4500" w:type="dxa"/>
            <w:vAlign w:val="bottom"/>
          </w:tcPr>
          <w:p>
            <w:pPr>
              <w:spacing w:after="0"/>
              <w:rPr>
                <w:sz w:val="16"/>
                <w:szCs w:val="16"/>
                <w:color w:val="auto"/>
              </w:rPr>
            </w:pPr>
          </w:p>
        </w:tc>
        <w:tc>
          <w:tcPr>
            <w:tcW w:w="15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PBSOs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23"/>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661,850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20"/>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 or expired</w:t>
            </w:r>
          </w:p>
        </w:tc>
        <w:tc>
          <w:tcPr>
            <w:tcW w:w="1580" w:type="dxa"/>
            <w:vAlign w:val="bottom"/>
          </w:tcPr>
          <w:p>
            <w:pPr>
              <w:ind w:left="980"/>
              <w:spacing w:after="0"/>
              <w:rPr>
                <w:sz w:val="20"/>
                <w:szCs w:val="20"/>
                <w:color w:val="auto"/>
              </w:rPr>
            </w:pPr>
            <w:r>
              <w:rPr>
                <w:rFonts w:ascii="Times New Roman" w:cs="Times New Roman" w:eastAsia="Times New Roman" w:hAnsi="Times New Roman"/>
                <w:sz w:val="17"/>
                <w:szCs w:val="17"/>
                <w:color w:val="auto"/>
                <w:w w:val="99"/>
              </w:rPr>
              <w:t>(13,250)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5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w w:val="99"/>
              </w:rPr>
              <w:t>(15,650)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632,950</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2024</w:t>
            </w:r>
          </w:p>
        </w:tc>
        <w:tc>
          <w:tcPr>
            <w:tcW w:w="15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632,950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15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632,950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total pre-tax intrinsic value of performance-based stock options exercised during the year ended December 31, 2024 was less than $0.1 million. No performance-based stock options were exercised during the years ended December 31, 2023 and 2022. Stock-based compensation related to the PBSOs was approximately $0.5 million, $0.9 million and $0.8 million for the years ended December 31, 2024, 2023 and 2022, respectively. The total fair value of shares vested during the years ended December 31, 2024 and 2023 was $2.0 million and $0.3 million, respectively. As of December 31, 2024, there was no unrecognized stock-based compensation expense related to unvested PBSOs.</w:t>
      </w:r>
    </w:p>
    <w:p>
      <w:pPr>
        <w:spacing w:after="0" w:line="173"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total stock-based compensation expense in each of the income statement line items for the years ended December 31, 2024, 2023 and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4"/>
        </w:trPr>
        <w:tc>
          <w:tcPr>
            <w:tcW w:w="3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3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39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0" w:type="dxa"/>
            <w:vAlign w:val="bottom"/>
            <w:shd w:val="clear" w:color="auto" w:fill="CCEEFF"/>
          </w:tcPr>
          <w:p>
            <w:pPr>
              <w:jc w:val="right"/>
              <w:ind w:right="12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w:t>
            </w:r>
          </w:p>
        </w:tc>
      </w:tr>
      <w:tr>
        <w:trPr>
          <w:trHeight w:val="22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10,734</w:t>
            </w:r>
          </w:p>
        </w:tc>
      </w:tr>
      <w:tr>
        <w:trPr>
          <w:trHeight w:val="23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 compensation expense</w:t>
            </w:r>
          </w:p>
        </w:tc>
        <w:tc>
          <w:tcPr>
            <w:tcW w:w="1400" w:type="dxa"/>
            <w:vAlign w:val="bottom"/>
            <w:tcBorders>
              <w:bottom w:val="single" w:sz="8" w:color="auto"/>
            </w:tcBorders>
            <w:shd w:val="clear" w:color="auto" w:fill="CCEEFF"/>
          </w:tcPr>
          <w:p>
            <w:pPr>
              <w:jc w:val="right"/>
              <w:ind w:right="12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11,993</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44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11,958</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15,215</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Employee Benefit Plan</w:t>
      </w:r>
    </w:p>
    <w:p>
      <w:pPr>
        <w:spacing w:after="0" w:line="22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During 2008, the Company adopted the Esperion Therapeutics, Inc. 401(k) Plan (the “401(k) Plan”), which qualifies as a deferred salary arrangement under Section 401(k) of the Internal Revenue Code. Under the 401(k) Plan, participating employees may defer a portion of their pretax earnings. The Company may, at its sole discretion, contribute for the benefit of eligible employees. Company contributions to the 401(k) Plan during the years ended December 31, 2024, 2023 and 2022 were $1.8 million, $1.3 million and $0.7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Leases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 has operating leases primarily related to the Company's principal executive office, automobile leases and other IT related equipment. The lease for the principal executive office has a lease term of 5 years from November 1, 2023, and the automobile leases and IT equipment leases primarily have a term of 3 years. During the years ended December 31, 2024, December 31, 2023 and December 31, 2022 the Company recognized $3.0 million, $1.0 million and $1.3 million, respectively, of operating lease costs, recognized on the statements of operations and comprehensive loss, and paid cash for the amounts included in the measurement of lease liabilities of $2.6 million, $1.0 million and $1.2 million, respectively, which were included in operating cash flows on the statements of cash flows. At December 31, 2024 and December 31, 2023, the weighted-average remaining lease term of operating leases was 2.1 years and 2.9 years, respectively, and the weighted average discount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Leases (Continued)</w:t>
      </w:r>
    </w:p>
    <w:p>
      <w:pPr>
        <w:spacing w:after="0" w:line="3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rate was 7.4% and 7.5%, respectively. There was $3.3 million and $4.5 million in right-of-use assets obtained in exchange for lease obligations for the twelve months ended December 31, 2024 and December 31, 2023, respectively. The Company had no additional operating and finance leases that had not yet commenced as of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future maturities of operating lease liabilities as of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9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supplemental balance sheet information related to leases as of December 31, 2024:</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8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right of use operating lease assets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(short-term)</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obligations under operating leases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w:t>
      </w:r>
    </w:p>
    <w:p>
      <w:pPr>
        <w:spacing w:after="0" w:line="22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There was no provision for income taxes for the years ended December 31, 2024 and 2023 because the Company has incurred operating losses since inception. At December 31, 2024, the Company concluded that it is not more likely than not that the Company will realize the benefit of its deferred tax assets due to its history of losses. Accordingly, a full valuation allowance has been applied against the net deferred tax assets.</w:t>
      </w:r>
    </w:p>
    <w:p>
      <w:pPr>
        <w:spacing w:after="0" w:line="16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As of December 31, 2024 and 2023, the Company had net deferred tax assets, before valuation allowance, of approximately $413.1 million and $395.6 million, respectively. Realization of the deferred assets is dependent upon future taxable income, if any, the amount and timing of which are uncertain. Accordingly, the net deferred tax assets have been fully offset by a valuation allowance. As of December 31, 2024 and 2023, the Company had federal net operating loss (“NOL”) carryforwards of approximately $773.6 million and $1,027.5 million, respectively. Of the total federal NOL carryforwards, $83.5 million will expire at various dates beginning in 2037, if not utilized; the remaining federal NOLs do not expire. As of December 31, 2024 and 2023, the Company had state NOL carryforwards of approximately $644.6 million and $696.1 million, respectively. In 2022, state NOL carryforwards began to expire as they were not able to be fully utilized and will continue to expire in in future periods, if not utilized.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research and developmental tax credits of $21.0 million. The tax credit carryforwards will expire beginning in 2031, if not utilized.</w:t>
      </w:r>
    </w:p>
    <w:p>
      <w:pPr>
        <w:spacing w:after="0" w:line="28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various states. With few exceptions, the Company is no longer subject to U.S. federal or state and local income tax examinations by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U.S. statutory income tax rate to the Company’s effective tax rate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
        </w:trPr>
        <w:tc>
          <w:tcPr>
            <w:tcW w:w="7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38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r>
      <w:tr>
        <w:trPr>
          <w:trHeight w:val="21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 (benefit) at statutory rate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state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r>
      <w:tr>
        <w:trPr>
          <w:trHeight w:val="22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items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r>
      <w:tr>
        <w:trPr>
          <w:trHeight w:val="22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Prior period adjustments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r>
      <w:tr>
        <w:trPr>
          <w:trHeight w:val="22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100" w:type="dxa"/>
            <w:vAlign w:val="bottom"/>
            <w:shd w:val="clear" w:color="auto" w:fill="CCEEFF"/>
          </w:tcPr>
          <w:p>
            <w:pPr>
              <w:spacing w:after="0"/>
              <w:rPr>
                <w:sz w:val="19"/>
                <w:szCs w:val="19"/>
                <w:color w:val="auto"/>
              </w:rPr>
            </w:pPr>
          </w:p>
        </w:tc>
      </w:tr>
      <w:tr>
        <w:trPr>
          <w:trHeight w:val="21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If the Company experiences a greater than 50 percentage point aggregate change in ownership of certain significant stockholders over a three-year period, a Section 382 ownership change could be deemed to have occurred. If a Section 382 change occurs, the Company’s future utilization of the net operating loss carryforwards and credits as of the ownership change will be subject to an annual limitation under Section 382 of the Internal Revenue Code of 1986, as amended, and similar state provisions. Some of the U.S. Federal and State net operating loss and credit carryforwards are subject to annual limitations due to ownership changes. The annual limitation may result in the expiration of net operating losses or credit carryforwards before utilization. The Company experienced an ownership change in 2013, 2017, 2021, 2023, and 2024. The Company may also experience ownership changes in the future as a result of future transactions in their stock. As a result of the Section 382 limitation analysis performed by the Company in 2024, it is estimated that the Company can use approximately</w:t>
      </w:r>
    </w:p>
    <w:p>
      <w:pPr>
        <w:spacing w:after="0" w:line="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$328.4 million of net operating loss carryforwards to offset taxable income in 2024. As the Company had less taxable income than the total allowable net deductions under section 382, it was able to use net operating loss carryforwards to fully offset taxable income in 2024. The Company had no tax expense in 2024.</w:t>
      </w:r>
    </w:p>
    <w:p>
      <w:pPr>
        <w:spacing w:after="0" w:line="16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The Company recognized no material adjustment for unrecognized income tax benefits. Through December 31, 2024, the Company had accrued $2.1 million for unrecognized income tax benefits and related interest and penalties against credits.</w:t>
      </w:r>
    </w:p>
    <w:p>
      <w:pPr>
        <w:spacing w:after="0" w:line="19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The Company does not expect this amount to change in the next twelve months. At December 31, 2024, all of the amount of unrecognized tax benefits, if recognized, would result in a deferred tax asset and corresponding increase in the entity’s valuation allowance. Such unrecognized tax benefit would not affect the effective rate if recognized. There were no interest and penalties associated with unrecognized tax benefits recognized in the Statements of Operations for the years ended December 31, 2024 and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
        </w:trPr>
        <w:tc>
          <w:tcPr>
            <w:tcW w:w="422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4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r>
      <w:tr>
        <w:trPr>
          <w:trHeight w:val="187"/>
        </w:trPr>
        <w:tc>
          <w:tcPr>
            <w:tcW w:w="4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4520" w:type="dxa"/>
            <w:vAlign w:val="bottom"/>
            <w:gridSpan w:val="2"/>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440" w:type="dxa"/>
            <w:vAlign w:val="bottom"/>
          </w:tcPr>
          <w:p>
            <w:pPr>
              <w:spacing w:after="0"/>
              <w:rPr>
                <w:sz w:val="19"/>
                <w:szCs w:val="19"/>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Reductions for tax positions of prior year</w:t>
            </w:r>
          </w:p>
        </w:tc>
        <w:tc>
          <w:tcPr>
            <w:tcW w:w="3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r>
      <w:tr>
        <w:trPr>
          <w:trHeight w:val="23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440" w:type="dxa"/>
            <w:vAlign w:val="bottom"/>
          </w:tcPr>
          <w:p>
            <w:pPr>
              <w:spacing w:after="0"/>
              <w:rPr>
                <w:sz w:val="20"/>
                <w:szCs w:val="20"/>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825"/>
        </w:trPr>
        <w:tc>
          <w:tcPr>
            <w:tcW w:w="4220" w:type="dxa"/>
            <w:vAlign w:val="bottom"/>
          </w:tcPr>
          <w:p>
            <w:pPr>
              <w:spacing w:after="0"/>
              <w:rPr>
                <w:sz w:val="24"/>
                <w:szCs w:val="24"/>
                <w:color w:val="auto"/>
              </w:rPr>
            </w:pPr>
          </w:p>
        </w:tc>
        <w:tc>
          <w:tcPr>
            <w:tcW w:w="4520" w:type="dxa"/>
            <w:vAlign w:val="bottom"/>
            <w:gridSpan w:val="2"/>
          </w:tcPr>
          <w:p>
            <w:pPr>
              <w:jc w:val="right"/>
              <w:ind w:right="2883"/>
              <w:spacing w:after="0"/>
              <w:rPr>
                <w:sz w:val="20"/>
                <w:szCs w:val="20"/>
                <w:color w:val="auto"/>
              </w:rPr>
            </w:pPr>
            <w:r>
              <w:rPr>
                <w:rFonts w:ascii="Times New Roman" w:cs="Times New Roman" w:eastAsia="Times New Roman" w:hAnsi="Times New Roman"/>
                <w:sz w:val="17"/>
                <w:szCs w:val="17"/>
                <w:color w:val="auto"/>
              </w:rPr>
              <w:t>F-39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9"/>
        </w:trPr>
        <w:tc>
          <w:tcPr>
            <w:tcW w:w="422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Income Taxes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are summarized in the table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3"/>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 and state operating loss carryforwards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203,889</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258,836</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Royalty Purchase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Disallowed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43,239</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37,998</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25,413</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R&amp;D tax credits, net of reserves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18,887</w:t>
            </w:r>
          </w:p>
        </w:tc>
      </w:tr>
      <w:tr>
        <w:trPr>
          <w:trHeight w:val="220"/>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temporary differences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396,735</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temporary differences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(395,581)</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Segment Reporting</w:t>
      </w: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The majority of the Company's business consists of researching, developing and commercializing therapies for the treatment of patients with elevated LDL-C. The segment derives net product sales through sale of its NEXLETOL and NEXLIZET tablets to customers in the United States and through collaboration agreements with other third party companies to develop, manufacture and commercialize its products outside the United States. Net product sales were $115.7 million, $78.3 million and $55.9 million for the three years ended December 31, 2024, 2023, and 2022, respectively. Collaboration revenue, which includes milestone payments, royalty revenues and sales of the Company's tablets to its collaboration partners, were $216.6 million, $38.0 million and $19.6 million for the three years ended December 31, 2024, 2023, and 2022, respectively. During the year ended December 31, 2024, collaboration revenue was primarily derived in Europe and Japan from the Company's partners DSE and Otsuka. The Company manages the business activities on a consolidated basis. The accounting policies of the segment are the same as those described in Note 2.</w:t>
      </w:r>
    </w:p>
    <w:p>
      <w:pPr>
        <w:spacing w:after="0" w:line="20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The Company's chief operating decision maker is the Chief Executive Officer, or CODM. The CODM assesses the performance of the Company and decides how to allocate resources based on revenues and net income (loss), which is reported on the statements of operations. The chief operating decision maker also assesses performance by reviewing net cash provided by (used in) operating expenses, which is reported on the statements of cash flows. The measure of segment assets is reported on the balance sheets as total assets. The chief operating decision maker also reviews cash and cash equivalents. A significant component of the CODM's decision-making process is to ensure a balanced investment in research and development, as well as commercial activities to drive near-term success and sustain for the long term.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Net Loss Per Common Share</w:t>
      </w:r>
    </w:p>
    <w:p>
      <w:pPr>
        <w:spacing w:after="0" w:line="2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Net Loss Per Common Share (Continued)</w:t>
      </w:r>
    </w:p>
    <w:p>
      <w:pPr>
        <w:spacing w:after="0" w:line="200" w:lineRule="exact"/>
        <w:rPr>
          <w:sz w:val="20"/>
          <w:szCs w:val="20"/>
          <w:color w:val="auto"/>
        </w:rPr>
      </w:pPr>
    </w:p>
    <w:p>
      <w:pPr>
        <w:spacing w:after="0" w:line="311"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The shares outstanding at the end of the respective periods presented below were excluded from the calculation of diluted net loss per share due to their anti-dilutive effect: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shares under option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5,177,511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3,686,191</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3,842,737</w:t>
            </w:r>
          </w:p>
        </w:tc>
        <w:tc>
          <w:tcPr>
            <w:tcW w:w="100" w:type="dxa"/>
            <w:vAlign w:val="bottom"/>
            <w:shd w:val="clear" w:color="auto" w:fill="CCEEFF"/>
          </w:tcPr>
          <w:p>
            <w:pPr>
              <w:spacing w:after="0"/>
              <w:rPr>
                <w:sz w:val="18"/>
                <w:szCs w:val="18"/>
                <w:color w:val="auto"/>
              </w:rPr>
            </w:pP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RSUs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4,447,074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3,047,888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1,768,185</w:t>
            </w:r>
          </w:p>
        </w:tc>
        <w:tc>
          <w:tcPr>
            <w:tcW w:w="100" w:type="dxa"/>
            <w:vAlign w:val="bottom"/>
          </w:tcPr>
          <w:p>
            <w:pPr>
              <w:spacing w:after="0"/>
              <w:rPr>
                <w:sz w:val="19"/>
                <w:szCs w:val="19"/>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related to the ESPP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116,804</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27,558</w:t>
            </w:r>
          </w:p>
        </w:tc>
        <w:tc>
          <w:tcPr>
            <w:tcW w:w="100" w:type="dxa"/>
            <w:vAlign w:val="bottom"/>
            <w:shd w:val="clear" w:color="auto" w:fill="CCEEFF"/>
          </w:tcPr>
          <w:p>
            <w:pPr>
              <w:spacing w:after="0"/>
              <w:rPr>
                <w:sz w:val="19"/>
                <w:szCs w:val="19"/>
                <w:color w:val="auto"/>
              </w:rPr>
            </w:pP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PBRSUs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160,275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461,250</w:t>
            </w:r>
          </w:p>
        </w:tc>
        <w:tc>
          <w:tcPr>
            <w:tcW w:w="100" w:type="dxa"/>
            <w:vAlign w:val="bottom"/>
          </w:tcPr>
          <w:p>
            <w:pPr>
              <w:spacing w:after="0"/>
              <w:rPr>
                <w:sz w:val="19"/>
                <w:szCs w:val="19"/>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shares under PBSOs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661,850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499,200</w:t>
            </w:r>
          </w:p>
        </w:tc>
        <w:tc>
          <w:tcPr>
            <w:tcW w:w="100" w:type="dxa"/>
            <w:vAlign w:val="bottom"/>
            <w:shd w:val="clear" w:color="auto" w:fill="CCEEFF"/>
          </w:tcPr>
          <w:p>
            <w:pPr>
              <w:spacing w:after="0"/>
              <w:rPr>
                <w:sz w:val="19"/>
                <w:szCs w:val="19"/>
                <w:color w:val="auto"/>
              </w:rPr>
            </w:pPr>
          </w:p>
        </w:tc>
      </w:tr>
      <w:tr>
        <w:trPr>
          <w:trHeight w:val="220"/>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conversion of convertible notes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34,338,912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8,007,010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8,007,010</w:t>
            </w:r>
          </w:p>
        </w:tc>
        <w:tc>
          <w:tcPr>
            <w:tcW w:w="100" w:type="dxa"/>
            <w:vAlign w:val="bottom"/>
          </w:tcPr>
          <w:p>
            <w:pPr>
              <w:spacing w:after="0"/>
              <w:rPr>
                <w:sz w:val="19"/>
                <w:szCs w:val="19"/>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for common stock</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26,071,429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36,344,212</w:t>
            </w:r>
          </w:p>
        </w:tc>
        <w:tc>
          <w:tcPr>
            <w:tcW w:w="1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36,964,286</w:t>
            </w:r>
          </w:p>
        </w:tc>
        <w:tc>
          <w:tcPr>
            <w:tcW w:w="100" w:type="dxa"/>
            <w:vAlign w:val="bottom"/>
            <w:shd w:val="clear" w:color="auto" w:fill="CCEEFF"/>
          </w:tcPr>
          <w:p>
            <w:pPr>
              <w:spacing w:after="0"/>
              <w:rPr>
                <w:sz w:val="19"/>
                <w:szCs w:val="19"/>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potential dilutive shares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70,784,680</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51,907,426</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51,570,226</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40"/>
          </w:cols>
          <w:pgMar w:left="320" w:top="12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2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This policy sets forth the policy and procedures of Esperion Therapeutics, Inc. (the "Company") regarding trading in the Company's securities for the Company’s directors, officers, and employees designated as "Insiders."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SCOPE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is applicable to all directors, officers, and employees who are designated "Insiders." More detail related to the scope is listed in Part I.A below.</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PRINCIPLES</w:t>
      </w:r>
    </w:p>
    <w:p>
      <w:pPr>
        <w:spacing w:after="0" w:line="24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This Insider Trading Policy (the "Insider Trading Policy") is intended to prevent the misuse of material, nonpublic information, insider trading in securities, and the severe consequences associated with violations of insider trading laws. It is your obligation to understand and comply with this Insider Trading Policy and applicable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OVERVIEW</w:t>
      </w:r>
    </w:p>
    <w:p>
      <w:pPr>
        <w:spacing w:after="0" w:line="24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tab/>
        <w:t>To Whom does this Insider Trading Policy Apply?</w:t>
      </w:r>
    </w:p>
    <w:p>
      <w:pPr>
        <w:spacing w:after="0" w:line="24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This Insider Trading Policy is applicable to the Company's directors, officers, and employees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9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addition, all directors, all executive officers (as defined in Section 16 of Securities Exchange Act of 1934, as amended (the "Exchange Act")), and any other officers and employees designated by the Insider Trading Policy Officer because they have access to material, nonpublic information about the Company must comply with the Trading Procedures set forth in Part II of this Insider Trading Policy (the "Trading Procedures") (collectively, and solely for the purposes of this Insider Trading Policy, these persons are referred to as "Insiders"). The Trading Procedures provide rules for when Insiders can trade in the Company's securities and explain the process for mandatory pre-clearance of proposed trades. You will be notified if you are considered to be an Insider who is required to comply with the Trading Procedures.</w:t>
      </w:r>
    </w:p>
    <w:p>
      <w:pPr>
        <w:spacing w:after="0" w:line="20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Insider Trading Policy, including, if applicable, the Trading Procedures contained herein, also applies to the following persons (collectively, these persons and entities are referred to as "Affiliated Persons"):</w:t>
      </w:r>
    </w:p>
    <w:p>
      <w:pPr>
        <w:spacing w:after="0" w:line="177" w:lineRule="exact"/>
        <w:rPr>
          <w:sz w:val="20"/>
          <w:szCs w:val="20"/>
          <w:color w:val="auto"/>
        </w:rPr>
      </w:pPr>
    </w:p>
    <w:p>
      <w:pPr>
        <w:ind w:left="620" w:hanging="307"/>
        <w:spacing w:after="0" w:line="257" w:lineRule="auto"/>
        <w:tabs>
          <w:tab w:leader="none" w:pos="6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“Family Members” (“Family Members” are (a) your spouse or domestic partner, stepchildren, grandchildren, parents, stepparents, grandparents, siblings and in-laws, in each case, living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3" w:lineRule="exact"/>
        <w:rPr>
          <w:rFonts w:ascii="Times New Roman" w:cs="Times New Roman" w:eastAsia="Times New Roman" w:hAnsi="Times New Roman"/>
          <w:sz w:val="17"/>
          <w:szCs w:val="17"/>
          <w:color w:val="auto"/>
        </w:rPr>
      </w:pPr>
    </w:p>
    <w:p>
      <w:pPr>
        <w:ind w:left="620" w:right="200" w:hanging="307"/>
        <w:spacing w:after="0" w:line="253" w:lineRule="auto"/>
        <w:tabs>
          <w:tab w:leader="none" w:pos="6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persons who execute trades on your behalf; and</w:t>
      </w:r>
    </w:p>
    <w:p>
      <w:pPr>
        <w:spacing w:after="0" w:line="11" w:lineRule="exact"/>
        <w:rPr>
          <w:rFonts w:ascii="Times New Roman" w:cs="Times New Roman" w:eastAsia="Times New Roman" w:hAnsi="Times New Roman"/>
          <w:sz w:val="17"/>
          <w:szCs w:val="17"/>
          <w:color w:val="auto"/>
        </w:rPr>
      </w:pPr>
    </w:p>
    <w:p>
      <w:pPr>
        <w:ind w:left="620" w:right="160" w:hanging="307"/>
        <w:spacing w:after="0" w:line="260" w:lineRule="auto"/>
        <w:tabs>
          <w:tab w:leader="none" w:pos="6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investment funds, trusts, retirement plans, partnerships, corporations and other types of entities over which you have the ability to influence or direct investment decisions concerning securities; provided, however, that the Trading Procedures shall not apply to any such entity that engages in the investment of securities in the ordinary course of its</w:t>
      </w:r>
    </w:p>
    <w:p>
      <w:pPr>
        <w:sectPr>
          <w:pgSz w:w="11900" w:h="16838" w:orient="portrait"/>
          <w:cols w:equalWidth="0" w:num="1">
            <w:col w:w="11240"/>
          </w:cols>
          <w:pgMar w:left="320" w:top="85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318" w:lineRule="exact"/>
        <w:rPr>
          <w:sz w:val="20"/>
          <w:szCs w:val="20"/>
          <w:color w:val="auto"/>
        </w:rPr>
      </w:pPr>
    </w:p>
    <w:p>
      <w:pPr>
        <w:ind w:left="620" w:right="40"/>
        <w:spacing w:after="0" w:line="260" w:lineRule="auto"/>
        <w:rPr>
          <w:sz w:val="20"/>
          <w:szCs w:val="20"/>
          <w:color w:val="auto"/>
        </w:rPr>
      </w:pPr>
      <w:r>
        <w:rPr>
          <w:rFonts w:ascii="Times New Roman" w:cs="Times New Roman" w:eastAsia="Times New Roman" w:hAnsi="Times New Roman"/>
          <w:sz w:val="17"/>
          <w:szCs w:val="17"/>
          <w:color w:val="auto"/>
        </w:rPr>
        <w:t>business (e.g., an investment fund or partnership) if such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responsible for ensuring compliance with this Insider Trading Policy, including the Trading Procedures contained herein, by all of your Affiliated Persons.</w:t>
      </w:r>
    </w:p>
    <w:p>
      <w:pPr>
        <w:spacing w:after="0" w:line="200" w:lineRule="exact"/>
        <w:rPr>
          <w:sz w:val="20"/>
          <w:szCs w:val="20"/>
          <w:color w:val="auto"/>
        </w:rPr>
      </w:pPr>
    </w:p>
    <w:p>
      <w:pPr>
        <w:spacing w:after="0" w:line="2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tab/>
        <w:t>What is Prohibited by this Insider Trading Policy?</w:t>
      </w:r>
    </w:p>
    <w:p>
      <w:pPr>
        <w:spacing w:after="0" w:line="24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You and your Affiliated Persons are prohibited from engaging in insider trading and from otherwise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Prohibition on Trading in Company Securities</w:t>
      </w:r>
    </w:p>
    <w:p>
      <w:pPr>
        <w:spacing w:after="0" w:line="24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When you know or are in possession of material, nonpublic information about the Company, whether positive or negative, you are prohibited from trading (whether for your account or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pursuant to plans approved by the Insider Trading Policy Officer in accordance with this Insider Trading Policy that are intended to comply with Rule 10b5-1 under the Exchange Act.</w:t>
      </w:r>
    </w:p>
    <w:p>
      <w:pPr>
        <w:spacing w:after="0" w:line="20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Company may establish blackout periods from time to time during which some or all of the persons or entities covered by this Insider Trading Policy, as instructed by the Company from time to time, may not trade in any securities of the Company in light of particular events or developments affecting the Company. In such event, you will be notified by e-mail and/or other means of the imposition and expected duration of the trading prohibition. During that period, no person covered by such a notice may trade in the Company’s securities (subject to the limited exceptions set forth in this Insider Trading Policy).</w:t>
      </w:r>
    </w:p>
    <w:p>
      <w:pPr>
        <w:spacing w:after="0" w:line="19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trading prohibitions in this Insider Trading Policy do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9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trading prohibitions in this Insider Trading Policy do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Prohibition on Tipping</w:t>
      </w:r>
    </w:p>
    <w:p>
      <w:pPr>
        <w:spacing w:after="0" w:line="2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Providing material nonpublic information about the Company to another person who may trade or advise others to trade on the basis of that information is known as “tipping”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ectPr>
          <w:pgSz w:w="11900" w:h="16838" w:orient="portrait"/>
          <w:cols w:equalWidth="0" w:num="1">
            <w:col w:w="11240"/>
          </w:cols>
          <w:pgMar w:left="320" w:top="12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Prohibition on Trading in Securities of Other Companies</w:t>
      </w:r>
    </w:p>
    <w:p>
      <w:pPr>
        <w:spacing w:after="0" w:line="2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neither you nor your Affiliated Persons may trade in any securities of that company, give trading advice about that company, tip or disclose that information, pass it on to others or engage in any other action to take advantage of that information. If your work regularly involves handling or discussing confidential information of companies in either of the foregoing categories, you should consult with the Company before trading in any of those company’s securities.</w:t>
      </w:r>
    </w:p>
    <w:p>
      <w:pPr>
        <w:spacing w:after="0" w:line="20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Securities and Exchange Commission (the “SEC”) has successfully brought an insider trading claim against an insider in those circumstances.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Prohibited Transactions</w:t>
      </w:r>
    </w:p>
    <w:p>
      <w:pPr>
        <w:spacing w:after="0" w:line="244" w:lineRule="exact"/>
        <w:rPr>
          <w:sz w:val="20"/>
          <w:szCs w:val="20"/>
          <w:color w:val="auto"/>
        </w:rPr>
      </w:pPr>
    </w:p>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Short Sales. </w:t>
      </w:r>
      <w:r>
        <w:rPr>
          <w:rFonts w:ascii="Times New Roman" w:cs="Times New Roman" w:eastAsia="Times New Roman" w:hAnsi="Times New Roman"/>
          <w:sz w:val="17"/>
          <w:szCs w:val="17"/>
          <w:color w:val="auto"/>
        </w:rPr>
        <w:t>No Insider may at any time sell any securities of the Company that are not owned by such Insider at the time of the sale (a "short sale").</w:t>
      </w:r>
    </w:p>
    <w:p>
      <w:pPr>
        <w:spacing w:after="0" w:line="243" w:lineRule="exact"/>
        <w:rPr>
          <w:rFonts w:ascii="Times New Roman" w:cs="Times New Roman" w:eastAsia="Times New Roman" w:hAnsi="Times New Roman"/>
          <w:sz w:val="17"/>
          <w:szCs w:val="17"/>
          <w:color w:val="auto"/>
        </w:rPr>
      </w:pPr>
    </w:p>
    <w:p>
      <w:pPr>
        <w:ind w:left="620" w:right="180" w:hanging="307"/>
        <w:spacing w:after="0" w:line="266"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Purchases or Sales of Derivative Securities or Hedging Transactions. </w:t>
      </w:r>
      <w:r>
        <w:rPr>
          <w:rFonts w:ascii="Times New Roman" w:cs="Times New Roman" w:eastAsia="Times New Roman" w:hAnsi="Times New Roman"/>
          <w:sz w:val="17"/>
          <w:szCs w:val="17"/>
          <w:color w:val="auto"/>
        </w:rPr>
        <w:t>No Insider may buy or sell puts, calls, other derivative securities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9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Company Securities Subject to Margin Calls. </w:t>
      </w:r>
      <w:r>
        <w:rPr>
          <w:rFonts w:ascii="Times New Roman" w:cs="Times New Roman" w:eastAsia="Times New Roman" w:hAnsi="Times New Roman"/>
          <w:sz w:val="17"/>
          <w:szCs w:val="17"/>
          <w:color w:val="auto"/>
        </w:rPr>
        <w:t>No Insider may use the Company's securities as collateral in a margin account.</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 Pledges. </w:t>
      </w:r>
      <w:r>
        <w:rPr>
          <w:rFonts w:ascii="Times New Roman" w:cs="Times New Roman" w:eastAsia="Times New Roman" w:hAnsi="Times New Roman"/>
          <w:sz w:val="17"/>
          <w:szCs w:val="17"/>
          <w:color w:val="auto"/>
        </w:rPr>
        <w:t>No Insider may pledge Company securities as collateral for a loan (or modify an existing pledge).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Duration of Trading Prohibitions</w:t>
      </w:r>
    </w:p>
    <w:p>
      <w:pPr>
        <w:spacing w:after="0" w:line="24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9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This Insider Trading Policy applies to you and your Affiliated Persons so long as you are associated with the Company. In the event that you leave the Company for any reason, this Insider Trading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tab/>
        <w:t>What is Material, Nonpublic Information?</w:t>
      </w:r>
    </w:p>
    <w:p>
      <w:pPr>
        <w:spacing w:after="0" w:line="248"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7"/>
          <w:szCs w:val="17"/>
          <w:color w:val="auto"/>
        </w:rPr>
        <w:t>This Insider Trading Policy prohibits you from trading in the Company's securities if you are in possession of information about the Company that is both "material” and "nonpublic." If you have a question whether certain information you are aware of is material or has been made public, you are encouraged to consult with the Insider Trading Policy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Information</w:t>
      </w:r>
    </w:p>
    <w:p>
      <w:pPr>
        <w:spacing w:after="0" w:line="2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Information about the Company is "material" if it could reasonably be expected to affect the investment or decisions of a stockholder or potential investor, or if the disclosure of the information could reasonably be expected to significantly alter the total mix of information in the marketplace about the Company. We speak mostly in this Insider Trading Policy about determining whether information about us is material and nonpublic, but the same analysis applies to information about other companies covered by this policy that would preclude you from trading in their securities. In simple terms, material information</w:t>
      </w:r>
    </w:p>
    <w:p>
      <w:pPr>
        <w:sectPr>
          <w:pgSz w:w="11900" w:h="16838" w:orient="portrait"/>
          <w:cols w:equalWidth="0" w:num="1">
            <w:col w:w="11240"/>
          </w:cols>
          <w:pgMar w:left="320" w:top="12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3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93" w:lineRule="exact"/>
        <w:rPr>
          <w:sz w:val="20"/>
          <w:szCs w:val="20"/>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earnings guidance;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trials, collaborations, licenses or matters related to the status of clinical trials (e.g., enrollment);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or revenue that are inconsistent with the consensus expectations of the investment community;</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financial results that are known but have not been publicly disclosed;</w:t>
      </w:r>
    </w:p>
    <w:p>
      <w:pPr>
        <w:spacing w:after="0" w:line="11" w:lineRule="exact"/>
        <w:rPr>
          <w:sz w:val="20"/>
          <w:szCs w:val="20"/>
          <w:color w:val="auto"/>
        </w:rPr>
      </w:pPr>
    </w:p>
    <w:p>
      <w:pPr>
        <w:ind w:left="620" w:right="240" w:hanging="309"/>
        <w:spacing w:after="0" w:line="253" w:lineRule="auto"/>
        <w:tabs>
          <w:tab w:leader="none" w:pos="600" w:val="left"/>
        </w:tabs>
        <w:rPr>
          <w:sz w:val="20"/>
          <w:szCs w:val="20"/>
          <w:color w:val="auto"/>
        </w:rPr>
      </w:pPr>
      <w:r>
        <w:rPr>
          <w:rFonts w:ascii="Times New Roman" w:cs="Times New Roman" w:eastAsia="Times New Roman" w:hAnsi="Times New Roman"/>
          <w:sz w:val="17"/>
          <w:szCs w:val="17"/>
          <w:color w:val="auto"/>
        </w:rPr>
        <w:t>•</w:t>
        <w:tab/>
        <w:t>potential restatements of the Company's financial statements, changes in auditors or auditor notification that the Company may no longer rely on an auditor's audit report;</w:t>
      </w:r>
    </w:p>
    <w:p>
      <w:pPr>
        <w:spacing w:after="0" w:line="1" w:lineRule="exact"/>
        <w:rPr>
          <w:sz w:val="20"/>
          <w:szCs w:val="20"/>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proposed corporate mergers, acquisitions, tender offers, joint ventures or dispositions of significant assets;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management or the Board of Directors;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actual or threatened litigation or governmental investigations or major developments in such matters;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risks and incidents, including the discovery of significant vulnerabilities or breaches;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regarding products, customers, suppliers, orders, contracts or financing sources (e.g., the acquisition or loss of a contract);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dividend policy, declarations of stock splits, or proposed public or private sales of additional securities;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defaults under the Company's credit agreements or indentures, or the existence of material liquidity deficiencies;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bankruptcies or receiverships.</w:t>
      </w:r>
    </w:p>
    <w:p>
      <w:pPr>
        <w:spacing w:after="0" w:line="2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By including the list above, the Company does not mean to imply that each of these items above is per se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99"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17"/>
          <w:szCs w:val="17"/>
          <w:color w:val="auto"/>
        </w:rPr>
        <w:t>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"Nonpublic" Information</w:t>
      </w:r>
    </w:p>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publishing the information on the Company’s website or posting on social media if those are regular ways the Company communicates with investors,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completion of one full day of trading following the Company's public release of the information. For that purpose, a full day of trading means a session of regular trading hours on the Nasdaq Stock Market (“Nasdaq”) between 9:30 a.m. and 4:00 p.m. Eastern Time (or such earlier closing time as has been set by exchange rules) has occurred.</w:t>
      </w:r>
    </w:p>
    <w:p>
      <w:pPr>
        <w:spacing w:after="0" w:line="20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For example, if the Company publicly announces material nonpublic information of which you are aware before trading begins on a Tuesday, the first time you can buy or sell Company securities is the opening of the market on Wednesday. However, if the Company publicly announces this material information after trading begins on that Tuesday, the first time that you can buy or sell Company securities is the opening of the market on Thursday.</w:t>
      </w:r>
    </w:p>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tab/>
        <w:t>What are the Penalties for Insider Trading and Noncompliance with this Insider Trading Policy?</w:t>
      </w:r>
    </w:p>
    <w:p>
      <w:pPr>
        <w:spacing w:after="0" w:line="248"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7"/>
          <w:szCs w:val="17"/>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 The penalties for violating insider trading or tipping rules can be severe and include:</w:t>
      </w:r>
    </w:p>
    <w:p>
      <w:pPr>
        <w:spacing w:after="0" w:line="196" w:lineRule="exact"/>
        <w:rPr>
          <w:sz w:val="20"/>
          <w:szCs w:val="20"/>
          <w:color w:val="auto"/>
        </w:rPr>
      </w:pPr>
    </w:p>
    <w:p>
      <w:pPr>
        <w:ind w:left="620" w:hanging="307"/>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disgorgement of the profit gained or loss avoided by the trading;</w:t>
      </w:r>
    </w:p>
    <w:p>
      <w:pPr>
        <w:sectPr>
          <w:pgSz w:w="11900" w:h="16838" w:orient="portrait"/>
          <w:cols w:equalWidth="0" w:num="1">
            <w:col w:w="11220"/>
          </w:cols>
          <w:pgMar w:left="320" w:top="123"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318" w:lineRule="exact"/>
        <w:rPr>
          <w:sz w:val="20"/>
          <w:szCs w:val="20"/>
          <w:color w:val="auto"/>
        </w:rPr>
      </w:pPr>
    </w:p>
    <w:p>
      <w:pPr>
        <w:ind w:left="620" w:right="520" w:hanging="307"/>
        <w:spacing w:after="0" w:line="264" w:lineRule="auto"/>
        <w:tabs>
          <w:tab w:leader="none" w:pos="61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loss suffered by the persons who, contemporaneously with the purchase or sale of securities that are subject of such violation, have purchased or sold, as applicable, securities of the same class;</w:t>
      </w: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criminal penalties of up to $5,000,000;</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civil penalties of up to three times the profit made or loss avoided;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imprisonment for up to 20 years.</w:t>
      </w:r>
    </w:p>
    <w:p>
      <w:pPr>
        <w:spacing w:after="0" w:line="22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The Company and/or the supervisors of the person engaged in insider trading may also be required to pay civil penalties or fines of $2.5 million or more, up to three times the profit made or loss avoided, as well as criminal penalties of up to $25,000,000, and could under certain circumstances be subject to private lawsuits.</w:t>
      </w:r>
    </w:p>
    <w:p>
      <w:pPr>
        <w:spacing w:after="0" w:line="1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Violation of this Insider Trading Policy or any federal or state insider trading laws may subject the person violating such policy or laws to disciplinary action by the Company up to and including termination of your employment or other relationship with the Company.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9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E.</w:t>
        <w:tab/>
        <w:t>How Do You Report a Violation of this Insider Trading Policy?</w:t>
      </w:r>
    </w:p>
    <w:p>
      <w:pPr>
        <w:spacing w:after="0" w:line="24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If you have a question about this Insider Trading Policy, including whether certain information you are aware of is material or has been made public, you are encouraged to consult with the Insider Trading Policy Officer. In addition, if you violate this Insider Trading Policy or any federal or state laws governing insider trading, or know of any such violation by any director, officer or employee of the Company, you should report the violation immediately to the Insider Trading Policy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TRADING PROCEDURES</w:t>
      </w:r>
    </w:p>
    <w:p>
      <w:pPr>
        <w:spacing w:after="0" w:line="24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tab/>
        <w:t>Special Trading Restrictions Applicable to Insiders</w:t>
      </w:r>
    </w:p>
    <w:p>
      <w:pPr>
        <w:spacing w:after="0" w:line="248"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In addition to the restrictions on trading in Company securities set forth above, Insiders and their Affiliated Persons are subject to the following special trading restrictions as designated by the Company:</w:t>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No Trading Except During Trading Windows.</w:t>
      </w:r>
    </w:p>
    <w:p>
      <w:pPr>
        <w:spacing w:after="0" w:line="2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announcement of the Company's quarterly financial results almost always has the potential to have a material effect on the market for the Company's securities. Although an Insider may not know the financial results prior to public announcement, if an Insider engages in a trade before the financial results are disclosed to the public, such trades may give an appearance of impropriety that could subject the Insider and the Company to a charge of insider trading. Therefore, subject to limited exceptions described herein, Insiders may trade in Company securities only during four quarterly trading windows and then only after obtaining pre-clearance from the Insider Trading Policy Officer in accordance with the procedures set forth below. Unless otherwise advised, the four trading windows consist of the periods that begin after market close on the first full trading day following the Company's issuance of a press release (or other method of broad public dissemination) announcing its quarterly or annual earnings and end at the close of business on the 15th day before the end of the then-current quarter. For the purposes of the foregoing, a full trading day means an entire calendar day in which a session of regular trading hours on Nasdaq between 9:30 a.m. and 4:00 p.m. Eastern Time (or such earlier close time as has been set by exchange rules) has occurred. Insiders may be allowed to trade outside of a trading window only (a) pursuant to a pre-approved Rule 10b5-1 Plan as described below or (b) if granted a waiver in accordance with the procedure for waivers as described below.</w:t>
      </w:r>
    </w:p>
    <w:p>
      <w:pPr>
        <w:spacing w:after="0" w:line="200" w:lineRule="exact"/>
        <w:rPr>
          <w:sz w:val="20"/>
          <w:szCs w:val="20"/>
          <w:color w:val="auto"/>
        </w:rPr>
      </w:pPr>
    </w:p>
    <w:p>
      <w:pPr>
        <w:spacing w:after="0" w:line="21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For example, if the Company releases earnings results before the market opens on a Tuesday, the first time an Insider can buy or sell Company securities is after the market opens on Wednesday. However, if the Company’s earnings release occurs after trading begins on a Tuesday, the first time that an Insider can buy or sell Company securities is the opening of the market on Thursday.</w:t>
      </w:r>
    </w:p>
    <w:p>
      <w:pPr>
        <w:spacing w:after="0" w:line="193"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Of course, if an Insider has material nonpublic information about the Company during one of these trading windows, the Insider may not trade in the Company’s securities.</w:t>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Special Closed Trading Periods.</w:t>
      </w:r>
    </w:p>
    <w:p>
      <w:pPr>
        <w:spacing w:after="0" w:line="248"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Insider Trading Policy Officer may designate, from time to time, a “Special Closed Window” during what would otherwise be a permitted trading window. During a Special Closed Window, designated Insiders (which could be all Insiders or a subset</w:t>
      </w:r>
    </w:p>
    <w:p>
      <w:pPr>
        <w:sectPr>
          <w:pgSz w:w="11900" w:h="16838" w:orient="portrait"/>
          <w:cols w:equalWidth="0" w:num="1">
            <w:col w:w="11240"/>
          </w:cols>
          <w:pgMar w:left="320" w:top="12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them) may not trade in the Company’s securities. The Insider Trading Policy Officer may also impose a Special Closed Window on Insiders or a subset of them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prohibit trading in the securities of other companies to ensure compliance with this policy. The imposition of a Special Closed Window will not be announced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generally, should not be communicated to any other person, and may itself be considered under this Insider Trading Policy to be material nonpublic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Gifts and Other Distributions in Kind.</w:t>
      </w:r>
    </w:p>
    <w:p>
      <w:pPr>
        <w:spacing w:after="0" w:line="22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No Insider may give or make any other transfer of Company securities without consideration (e.g., a gift) during a period when the Insider is not permitted to trade unless the donee agrees not to sell the shares until such time as the Insider can sell. In addition to charitable donations or gifts to family members, friends, trusts or others, this prohibition applies to distributions to limited partners by limited partnerships that are subject to this Insider Trading Policy. Making a gift shall be considered trading in securities for purposes of the Pre-Clearance Procedures and Post-Trade Reporting Procedures in Section II.B. below.</w:t>
      </w:r>
    </w:p>
    <w:p>
      <w:pPr>
        <w:spacing w:after="0" w:line="19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No Trading During Retirement Plan Blackout Periods.</w:t>
      </w:r>
    </w:p>
    <w:p>
      <w:pPr>
        <w:spacing w:after="0" w:line="24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If the Company adopts a policy to allow ownership of Company stock in the Company's 401(k) or other retirement plan, then no Insider may trade in any Company securities, which were acquired in connection with such Insider's service or employment with the Company, during a retirement plan "blackout period" except as specifically permitted below. A blackout period includes any period of more than three (3) consecutive business days during which at least fifty percent (50%) of all participants and beneficiaries under all of the individual account plans maintained by the Company and members of its controlled group are prohibited from trading in Company securities through their plan accounts. Insiders will receive advance notice of any such blackout period from the Insider Trading Policy Officer or his or her designee.</w:t>
      </w:r>
    </w:p>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tab/>
        <w:t>Pre-Clearance Procedures</w:t>
      </w:r>
    </w:p>
    <w:p>
      <w:pPr>
        <w:spacing w:after="0" w:line="24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No Insider may trade in Company securities, even during an open trading window, unless the trade has been approved by the Insider Trading Policy Officer in accordance with the procedures set forth below. The Insider Trading Policy Officer will review and either approve or prohibit all proposed trades by Insiders in accordance with the procedures set forth below. The Insider Trading Policy Officer may consult with the Company's other officers and/or outside legal counsel and will seek approval for his/her own trades from the Chief Financial Officer, if the Chief Financial Officer is not the Insider Trading Policy Officer, or the Chief Executive Officer, if the Chief Financial Officer is the Insider Trading Policy Officer.</w:t>
      </w:r>
    </w:p>
    <w:p>
      <w:pPr>
        <w:spacing w:after="0" w:line="195" w:lineRule="exact"/>
        <w:rPr>
          <w:sz w:val="20"/>
          <w:szCs w:val="20"/>
          <w:color w:val="auto"/>
        </w:rPr>
      </w:pPr>
    </w:p>
    <w:p>
      <w:pPr>
        <w:ind w:left="300" w:hanging="297"/>
        <w:spacing w:after="0"/>
        <w:tabs>
          <w:tab w:leader="none" w:pos="30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Procedures. </w:t>
      </w:r>
      <w:r>
        <w:rPr>
          <w:rFonts w:ascii="Times New Roman" w:cs="Times New Roman" w:eastAsia="Times New Roman" w:hAnsi="Times New Roman"/>
          <w:sz w:val="17"/>
          <w:szCs w:val="17"/>
          <w:color w:val="auto"/>
        </w:rPr>
        <w:t>No Insider may trade in Company securities until:</w:t>
      </w:r>
    </w:p>
    <w:p>
      <w:pPr>
        <w:spacing w:after="0" w:line="247" w:lineRule="exact"/>
        <w:rPr>
          <w:rFonts w:ascii="Times New Roman" w:cs="Times New Roman" w:eastAsia="Times New Roman" w:hAnsi="Times New Roman"/>
          <w:sz w:val="17"/>
          <w:szCs w:val="17"/>
          <w:b w:val="1"/>
          <w:bCs w:val="1"/>
          <w:color w:val="auto"/>
        </w:rPr>
      </w:pPr>
    </w:p>
    <w:p>
      <w:pPr>
        <w:ind w:left="620" w:right="120" w:hanging="307"/>
        <w:spacing w:after="0" w:line="258" w:lineRule="auto"/>
        <w:tabs>
          <w:tab w:leader="none" w:pos="61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Insider has notified the Insider Trading Policy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Insider Trading Policy Officer at least two (2) business days prior to the intended trade date;</w:t>
      </w:r>
    </w:p>
    <w:p>
      <w:pPr>
        <w:spacing w:after="0" w:line="3" w:lineRule="exact"/>
        <w:rPr>
          <w:rFonts w:ascii="Times New Roman" w:cs="Times New Roman" w:eastAsia="Times New Roman" w:hAnsi="Times New Roman"/>
          <w:sz w:val="17"/>
          <w:szCs w:val="17"/>
          <w:color w:val="auto"/>
        </w:rPr>
      </w:pPr>
    </w:p>
    <w:p>
      <w:pPr>
        <w:ind w:left="620" w:right="320" w:hanging="307"/>
        <w:spacing w:after="0" w:line="253" w:lineRule="auto"/>
        <w:tabs>
          <w:tab w:leader="none" w:pos="61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Insider has certified to the Insider Trading Policy Officer in writing prior to the proposed trade(s) that the Insider is not in possession of material, nonpublic information concerning the Company;</w:t>
      </w:r>
    </w:p>
    <w:p>
      <w:pPr>
        <w:spacing w:after="0" w:line="1" w:lineRule="exact"/>
        <w:rPr>
          <w:rFonts w:ascii="Times New Roman" w:cs="Times New Roman" w:eastAsia="Times New Roman" w:hAnsi="Times New Roman"/>
          <w:sz w:val="17"/>
          <w:szCs w:val="17"/>
          <w:color w:val="auto"/>
        </w:rPr>
      </w:pPr>
    </w:p>
    <w:p>
      <w:pPr>
        <w:ind w:left="620" w:right="60" w:hanging="307"/>
        <w:spacing w:after="0" w:line="253" w:lineRule="auto"/>
        <w:tabs>
          <w:tab w:leader="none" w:pos="61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Insider is an executive officer or director, the Insider has informed the Insider Trading Policy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3" w:lineRule="exact"/>
        <w:rPr>
          <w:rFonts w:ascii="Times New Roman" w:cs="Times New Roman" w:eastAsia="Times New Roman" w:hAnsi="Times New Roman"/>
          <w:sz w:val="17"/>
          <w:szCs w:val="17"/>
          <w:color w:val="auto"/>
        </w:rPr>
      </w:pPr>
    </w:p>
    <w:p>
      <w:pPr>
        <w:ind w:left="620" w:right="320" w:hanging="307"/>
        <w:spacing w:after="0" w:line="267" w:lineRule="auto"/>
        <w:tabs>
          <w:tab w:leader="none" w:pos="61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Insider Trading Policy Officer or his or her designee has approved the trade(s) and has certified such approval in writing (which may be made by email).</w:t>
      </w:r>
    </w:p>
    <w:p>
      <w:pPr>
        <w:spacing w:after="0" w:line="194"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Insider Trading Policy Officer does not assume the responsibility for, and approval from the Insider Trading Policy Officer does not protect the Insider from, the consequences of prohibited insider trading.</w:t>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Additional Information.</w:t>
      </w:r>
    </w:p>
    <w:p>
      <w:pPr>
        <w:spacing w:after="0" w:line="24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Insiders shall provide to the Insider Trading Policy Officer any documentation reasonably requested by him or her in furtherance of the foregoing procedures. Any failure to provide such requested information will be grounds for denial of approval by the Insider Trading Policy Officer.</w:t>
      </w:r>
    </w:p>
    <w:p>
      <w:pPr>
        <w:sectPr>
          <w:pgSz w:w="11900" w:h="16838" w:orient="portrait"/>
          <w:cols w:equalWidth="0" w:num="1">
            <w:col w:w="11240"/>
          </w:cols>
          <w:pgMar w:left="320" w:top="12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200" w:lineRule="exact"/>
        <w:rPr>
          <w:sz w:val="20"/>
          <w:szCs w:val="20"/>
          <w:color w:val="auto"/>
        </w:rPr>
      </w:pPr>
    </w:p>
    <w:p>
      <w:pPr>
        <w:spacing w:after="0" w:line="34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Notification of Brokers of Insider Status.</w:t>
      </w:r>
    </w:p>
    <w:p>
      <w:pPr>
        <w:spacing w:after="0" w:line="24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Insiders who are required to file reports under Section 16 of the Exchange Act shall inform their broker-dealers that (a) the Insider is subject to Section 16; (b) the broker shall confirm that any trade by the Insider or any of their affiliates has been precleared by the Company; and (c) the broker is expected to provide transaction information to the Insider and/or Insider Trading Policy Officer on the day of a trade.</w:t>
      </w:r>
    </w:p>
    <w:p>
      <w:pPr>
        <w:spacing w:after="0" w:line="18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No Obligation to Approve Trades.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existence of the foregoing approval procedures does not in any way obligate the Insider Trading Policy Officer to approve any trade requested by an Insider.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Insider Trading Policy Officer may reject any trading request at his or her sole discretion.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From time to time, an event may occur that is material to the Company and is known by only a few directors or executives. Insiders may not trade in Company securities if they are notified by the Insider Trading Policy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Insider Trading Policy Officer may determine not to approve any transactions in the Company's securities. The Insider Trading Policy Officer will subsequently notify the Insider once the material, nonpublic development is disclosed to the public or resolved. If an Insider requests clearance to trade in the Company's securities during the pendency of such an event, the Insider Trading Policy Officer may reject the trading request without disclosing the reason.</w:t>
      </w:r>
    </w:p>
    <w:p>
      <w:pPr>
        <w:spacing w:after="0" w:line="20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Completion of Trades.</w:t>
      </w:r>
    </w:p>
    <w:p>
      <w:pPr>
        <w:spacing w:after="0" w:line="24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After receiving written clearance to engage in a trade signed by the Insider Trading Policy Officer, an Insider must complete the proposed trade within two (2) business days or make a new trading request. Even if an Insider has received clearance, the Insider may not engage in a trade if (i) such clearance has been rescinded by the Insider Trading Policy Officer, (ii) the Insider has otherwise received notice that the trading window has closed or (iii) the Insider has or acquires material nonpublic information.</w:t>
      </w:r>
    </w:p>
    <w:p>
      <w:pPr>
        <w:spacing w:after="0" w:line="19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Post-Trade Reporting</w:t>
      </w:r>
    </w:p>
    <w:p>
      <w:pPr>
        <w:spacing w:after="0" w:line="24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Any transactions in the Company's securities by an Insider (or an Affiliated Person) who is required to file reports under Section 16 of the Exchange Act (including transactions effected pursuant to a Rule 10b5-1 Plan) must be reported to the Insider Trading Policy Officer by the Insider or their brokerage firm on the same day in which a trade order is placed or such a transaction otherwise is entered into. Each report an Insider makes to the Insider Trading Policy Officer should include the date of the transaction, quantity of shares, price, name of the broker-dealer that effected the transaction and whether the trade was made pursuant to a valid Rule 10b5-1 Plan (as defined below). This reporting requirement may be satisfied by sending (or having such Insider's broker send) duplicate confirmations of trades to the Insider Trading Policy Officer if such information is received by the Insider Trading Policy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00" w:lineRule="exact"/>
        <w:rPr>
          <w:sz w:val="20"/>
          <w:szCs w:val="20"/>
          <w:color w:val="auto"/>
        </w:rPr>
      </w:pPr>
    </w:p>
    <w:p>
      <w:pPr>
        <w:spacing w:after="0" w:line="21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tab/>
        <w:t>Exemptions</w:t>
      </w:r>
    </w:p>
    <w:p>
      <w:pPr>
        <w:spacing w:after="0" w:line="2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Pre-Approved Rule 10b5-1 Plan.</w:t>
      </w:r>
    </w:p>
    <w:p>
      <w:pPr>
        <w:spacing w:after="0" w:line="24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Transactions effected pursuant to an approved Rule 10b5-1 Plan (as defined below) will not be subject to the Company's trading windows, retirement plan blackout periods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 to trade in Company securities outside of the Company's trading windows, even when in possession of material, nonpublic information.</w:t>
      </w:r>
    </w:p>
    <w:p>
      <w:pPr>
        <w:sectPr>
          <w:pgSz w:w="11900" w:h="16838" w:orient="portrait"/>
          <w:cols w:equalWidth="0" w:num="1">
            <w:col w:w="11240"/>
          </w:cols>
          <w:pgMar w:left="320" w:top="12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 Insider intends to trade pursuant to a Rule 10b5-1 Plan, such plan, arrangement or instruction must:</w:t>
      </w:r>
    </w:p>
    <w:p>
      <w:pPr>
        <w:spacing w:after="0" w:line="28" w:lineRule="exact"/>
        <w:rPr>
          <w:sz w:val="20"/>
          <w:szCs w:val="20"/>
          <w:color w:val="auto"/>
        </w:rPr>
      </w:pPr>
    </w:p>
    <w:p>
      <w:pPr>
        <w:ind w:left="620" w:hanging="307"/>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satisfy the requirements of Rule 10b5-1 and any other policies or requirements established by the Company for Rule 10b5-1 Plans;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documented in writing;</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established during a trading window when such Insider does not possess material, nonpublic information;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pre-approved by the Insider Trading Policy Officer.</w:t>
      </w:r>
    </w:p>
    <w:p>
      <w:pPr>
        <w:spacing w:after="0" w:line="227"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7"/>
          <w:szCs w:val="17"/>
          <w:color w:val="auto"/>
        </w:rPr>
        <w:t>Prior to approving a Rule 10b5-1 Plan, the Insider Trading Policy Officer may require that the plan exclude or include certain provisions (e.g., cooling off period, minimum number of trades requirement, limited term) that ensure compliance with SEC regulations and practices the Insider Trading Policy Officer deems to be in the best interests of the Company.</w:t>
      </w:r>
    </w:p>
    <w:p>
      <w:pPr>
        <w:spacing w:after="0" w:line="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7"/>
          <w:szCs w:val="17"/>
          <w:color w:val="auto"/>
        </w:rPr>
        <w:t>Any proposed deviation from the specifications of an approved Rule 10b5-1 Plan (including, without limitation, the amount, price or timing of a purchase or sale) must be reported immediately to, and be approved by, the Insider Trading Policy Officer. Any transaction pursuant to a Rule 10b5-1 Plan must be timely reported in accordance with the procedures set forth above.</w:t>
      </w:r>
    </w:p>
    <w:p>
      <w:pPr>
        <w:spacing w:after="0" w:line="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The Insider Trading Policy Officer may refuse to approve a Rule 10b5-1 Plan as he or she deems appropriate including, without limitation, if he or she determines that such plan does not satisfy the requirements of Rule 10b5-1.</w:t>
      </w:r>
    </w:p>
    <w:p>
      <w:pPr>
        <w:spacing w:after="0" w:line="1"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7"/>
          <w:szCs w:val="17"/>
          <w:color w:val="auto"/>
        </w:rPr>
        <w:t>Any modification or termination of an Insider's prior Rule 10b5-1 Plan previously approved by the Insider Trading Policy Officer requires a new approval by the Insider Trading Policy Officer. The Insider Trading Policy Officer may require as a condition to such approval that the modification or termination occur during a trading window, that such Insider not be aware of material, nonpublic information and that additional conditions, such as a cooling off period, must be satisfied.</w:t>
      </w:r>
    </w:p>
    <w:p>
      <w:pPr>
        <w:spacing w:after="0" w:line="19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Employee Benefit Plans.</w:t>
      </w:r>
    </w:p>
    <w:p>
      <w:pPr>
        <w:spacing w:after="0" w:line="2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Exercise of Stock Options. </w:t>
      </w:r>
      <w:r>
        <w:rPr>
          <w:rFonts w:ascii="Times New Roman" w:cs="Times New Roman" w:eastAsia="Times New Roman" w:hAnsi="Times New Roman"/>
          <w:sz w:val="17"/>
          <w:szCs w:val="17"/>
          <w:color w:val="auto"/>
        </w:rPr>
        <w:t>The trading prohibitions and restrictions set forth in the Trading Procedures do not apply to the exercise of an option to purchase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1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Tax Withholding on Restricted Stock/Units. </w:t>
      </w:r>
      <w:r>
        <w:rPr>
          <w:rFonts w:ascii="Times New Roman" w:cs="Times New Roman" w:eastAsia="Times New Roman" w:hAnsi="Times New Roman"/>
          <w:sz w:val="17"/>
          <w:szCs w:val="17"/>
          <w:color w:val="auto"/>
        </w:rPr>
        <w:t>The trading prohibitions and restrictions set forth in the Trading Procedures do not apply to the withholding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Employee Stock Purchase Plan. </w:t>
      </w:r>
      <w:r>
        <w:rPr>
          <w:rFonts w:ascii="Times New Roman" w:cs="Times New Roman" w:eastAsia="Times New Roman" w:hAnsi="Times New Roman"/>
          <w:sz w:val="17"/>
          <w:szCs w:val="17"/>
          <w:color w:val="auto"/>
        </w:rPr>
        <w:t>The trading prohibitions and restrictions set forth in the Trading Procedures do not apply to periodic wage withholding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contributions by the Company or employees of the Company which are used to purchase the Company's securities pursuant to the employees' advance instructions under any employee stock purchase plan established by the Company.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9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Waivers</w:t>
      </w:r>
    </w:p>
    <w:p>
      <w:pPr>
        <w:spacing w:after="0" w:line="248"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A waiver of any provision of this Insider Trading Policy, or the Trading Procedures contained herein, in a specific instance may be authorized in writing by the Audit Committee of the Board of Directors, and any such waiver shall be reported to the Company's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Ill. AMENDMENT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Insider Trading Policy may be amended from time to time with the approval of the Board of Directors or a designated committee thereof.</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 ACKNOWLEDGEMENT</w:t>
      </w:r>
    </w:p>
    <w:p>
      <w:pPr>
        <w:sectPr>
          <w:pgSz w:w="11900" w:h="16838" w:orient="portrait"/>
          <w:cols w:equalWidth="0" w:num="1">
            <w:col w:w="11200"/>
          </w:cols>
          <w:pgMar w:left="320" w:top="123"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color w:val="auto"/>
        </w:rPr>
        <w:t>Esperion Therapeutics,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Insider Trading Policy</w:t>
      </w:r>
    </w:p>
    <w:p>
      <w:pPr>
        <w:spacing w:after="0" w:line="200" w:lineRule="exact"/>
        <w:rPr>
          <w:sz w:val="20"/>
          <w:szCs w:val="20"/>
          <w:color w:val="auto"/>
        </w:rPr>
      </w:pPr>
    </w:p>
    <w:p>
      <w:pPr>
        <w:spacing w:after="0" w:line="3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This Insider Trading Policy supersedes any prior policy or procedures established by the Company with respect to insider trading and will be delivered to all current Insiders and to all future directors, officers, and employees who are designated Insiders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w:t>
      </w:r>
    </w:p>
    <w:p>
      <w:pPr>
        <w:spacing w:after="0" w:line="19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note if you are deemed an Insider, Exhibit B of this document will be deployed to you for additional acknowledgement of Part 2 of this document.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directors, officers, and employees may be required upon the Company's request to reacknowledge­ and agree to comply with the Insider Trading Policy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any amendments or modifications). For such purpose, an individual will be deemed to have acknowledged and agreed to comply with the Insider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 Policy, as amended from time to time, when copies of such items have been delivered by regular or electronic mail (or other delivery option used by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by the Insider Trading Policy Officer or his or her designee.</w:t>
      </w:r>
    </w:p>
    <w:p>
      <w:pPr>
        <w:spacing w:after="0" w:line="11" w:lineRule="exact"/>
        <w:rPr>
          <w:sz w:val="20"/>
          <w:szCs w:val="20"/>
          <w:color w:val="auto"/>
        </w:rPr>
      </w:pPr>
    </w:p>
    <w:p>
      <w:pPr>
        <w:spacing w:after="0"/>
        <w:tabs>
          <w:tab w:leader="none" w:pos="240" w:val="left"/>
          <w:tab w:leader="none" w:pos="50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Questions regarding this Insider Trading Policy are encouraged and may be directed to the Insider Trading Policy Officer.</w:t>
      </w:r>
    </w:p>
    <w:p>
      <w:pPr>
        <w:spacing w:after="0" w:line="24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ADOPTED:</w:t>
        <w:tab/>
        <w:t>November 20, 2019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January 1, 2020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Revised: February 12, 2025</w:t>
      </w:r>
    </w:p>
    <w:p>
      <w:pPr>
        <w:sectPr>
          <w:pgSz w:w="11900" w:h="16838" w:orient="portrait"/>
          <w:cols w:equalWidth="0" w:num="1">
            <w:col w:w="11140"/>
          </w:cols>
          <w:pgMar w:left="320" w:top="123"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44" w:lineRule="exact"/>
        <w:rPr>
          <w:sz w:val="20"/>
          <w:szCs w:val="20"/>
          <w:color w:val="auto"/>
        </w:rPr>
      </w:pPr>
    </w:p>
    <w:p>
      <w:pPr>
        <w:ind w:left="620" w:hanging="307"/>
        <w:spacing w:after="0"/>
        <w:tabs>
          <w:tab w:leader="none" w:pos="620"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S-3 No. 333-264303) of Esperion Therapeutics, Inc.</w:t>
      </w:r>
    </w:p>
    <w:p>
      <w:pPr>
        <w:spacing w:after="0" w:line="28" w:lineRule="exact"/>
        <w:rPr>
          <w:rFonts w:ascii="Arial" w:cs="Arial" w:eastAsia="Arial" w:hAnsi="Arial"/>
          <w:sz w:val="21"/>
          <w:szCs w:val="21"/>
          <w:color w:val="auto"/>
        </w:rPr>
      </w:pPr>
    </w:p>
    <w:p>
      <w:pPr>
        <w:ind w:left="620" w:right="220" w:hanging="307"/>
        <w:spacing w:after="0" w:line="210" w:lineRule="auto"/>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S-8 No. 333-281486) pertaining to the 2022 Stock Option and Incentive Plan, as amended, of Esperion Therapeutics, Inc. and the 2020 Employee Stock Purchase Plan, as amended, of Esperion Therapeutics, Inc.</w:t>
      </w:r>
    </w:p>
    <w:p>
      <w:pPr>
        <w:spacing w:after="0" w:line="2" w:lineRule="exact"/>
        <w:rPr>
          <w:rFonts w:ascii="Arial" w:cs="Arial" w:eastAsia="Arial" w:hAnsi="Arial"/>
          <w:sz w:val="21"/>
          <w:szCs w:val="21"/>
          <w:color w:val="auto"/>
        </w:rPr>
      </w:pPr>
    </w:p>
    <w:p>
      <w:pPr>
        <w:ind w:left="620" w:hanging="307"/>
        <w:spacing w:after="0"/>
        <w:tabs>
          <w:tab w:leader="none" w:pos="620" w:val="left"/>
        </w:tabs>
        <w:numPr>
          <w:ilvl w:val="0"/>
          <w:numId w:val="70"/>
        </w:numPr>
        <w:rPr>
          <w:rFonts w:ascii="Times New Roman" w:cs="Times New Roman" w:eastAsia="Times New Roman" w:hAnsi="Times New Roman"/>
          <w:sz w:val="20"/>
          <w:szCs w:val="20"/>
          <w:color w:val="auto"/>
        </w:rPr>
      </w:pPr>
      <w:r>
        <w:rPr>
          <w:rFonts w:ascii="Arial" w:cs="Arial" w:eastAsia="Arial" w:hAnsi="Arial"/>
          <w:sz w:val="15"/>
          <w:szCs w:val="15"/>
          <w:color w:val="auto"/>
        </w:rPr>
        <w:t>Registration Statement (Form S-8 No. 333-274183) pertaining to the Amended 2017 Inducement Equity Plan, as amended, of Esperion Therapeutics, Inc.</w:t>
      </w:r>
    </w:p>
    <w:p>
      <w:pPr>
        <w:spacing w:after="0" w:line="11" w:lineRule="exact"/>
        <w:rPr>
          <w:rFonts w:ascii="Times New Roman" w:cs="Times New Roman" w:eastAsia="Times New Roman" w:hAnsi="Times New Roman"/>
          <w:sz w:val="20"/>
          <w:szCs w:val="20"/>
          <w:color w:val="auto"/>
        </w:rPr>
      </w:pPr>
    </w:p>
    <w:p>
      <w:pPr>
        <w:ind w:left="620" w:hanging="307"/>
        <w:spacing w:after="0" w:line="230" w:lineRule="exact"/>
        <w:tabs>
          <w:tab w:leader="none" w:pos="620" w:val="left"/>
        </w:tabs>
        <w:numPr>
          <w:ilvl w:val="0"/>
          <w:numId w:val="70"/>
        </w:numPr>
        <w:rPr>
          <w:rFonts w:ascii="Arial" w:cs="Arial" w:eastAsia="Arial" w:hAnsi="Arial"/>
          <w:sz w:val="20"/>
          <w:szCs w:val="20"/>
          <w:color w:val="auto"/>
        </w:rPr>
      </w:pPr>
      <w:r>
        <w:rPr>
          <w:rFonts w:ascii="Arial" w:cs="Arial" w:eastAsia="Arial" w:hAnsi="Arial"/>
          <w:sz w:val="15"/>
          <w:szCs w:val="15"/>
          <w:color w:val="auto"/>
        </w:rPr>
        <w:t>Registration Statement (Form S</w:t>
      </w:r>
      <w:r>
        <w:rPr>
          <w:rFonts w:ascii="MS PGothic" w:cs="MS PGothic" w:eastAsia="MS PGothic" w:hAnsi="MS PGothic"/>
          <w:sz w:val="15"/>
          <w:szCs w:val="15"/>
          <w:color w:val="auto"/>
        </w:rPr>
        <w:t>‑</w:t>
      </w:r>
      <w:r>
        <w:rPr>
          <w:rFonts w:ascii="Arial" w:cs="Arial" w:eastAsia="Arial" w:hAnsi="Arial"/>
          <w:sz w:val="15"/>
          <w:szCs w:val="15"/>
          <w:color w:val="auto"/>
        </w:rPr>
        <w:t>8 No. 333-273555) pertaining to the 2022 Stock Option and Incentive Plan, as amended, of Esperion Therapeutics, Inc.</w:t>
      </w:r>
    </w:p>
    <w:p>
      <w:pPr>
        <w:spacing w:after="0" w:line="10" w:lineRule="exact"/>
        <w:rPr>
          <w:rFonts w:ascii="Arial" w:cs="Arial" w:eastAsia="Arial" w:hAnsi="Arial"/>
          <w:sz w:val="20"/>
          <w:szCs w:val="20"/>
          <w:color w:val="auto"/>
        </w:rPr>
      </w:pPr>
    </w:p>
    <w:p>
      <w:pPr>
        <w:ind w:left="620" w:hanging="307"/>
        <w:spacing w:after="0" w:line="233" w:lineRule="exact"/>
        <w:tabs>
          <w:tab w:leader="none" w:pos="620"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333-265247) pertaining to the 2022 Stock Option and Incentive Plan of Esperion Therapeutics, Inc.</w:t>
      </w:r>
    </w:p>
    <w:p>
      <w:pPr>
        <w:ind w:left="620" w:right="800" w:hanging="307"/>
        <w:spacing w:after="0" w:line="190"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333-262881)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7"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333-253414) pertaining to the Amended and Restated 2013 Stock Option and Incentive Plan of Esperion Therapeutics, Inc.</w:t>
      </w:r>
    </w:p>
    <w:p>
      <w:pPr>
        <w:ind w:left="620" w:hanging="307"/>
        <w:spacing w:after="0" w:line="230" w:lineRule="exact"/>
        <w:tabs>
          <w:tab w:leader="none" w:pos="620" w:val="left"/>
        </w:tabs>
        <w:numPr>
          <w:ilvl w:val="0"/>
          <w:numId w:val="70"/>
        </w:numPr>
        <w:rPr>
          <w:rFonts w:ascii="Arial" w:cs="Arial" w:eastAsia="Arial" w:hAnsi="Arial"/>
          <w:sz w:val="20"/>
          <w:szCs w:val="20"/>
          <w:color w:val="auto"/>
        </w:rPr>
      </w:pPr>
      <w:r>
        <w:rPr>
          <w:rFonts w:ascii="Arial" w:cs="Arial" w:eastAsia="Arial" w:hAnsi="Arial"/>
          <w:sz w:val="15"/>
          <w:szCs w:val="15"/>
          <w:color w:val="auto"/>
        </w:rPr>
        <w:t>Registration Statement (Form S</w:t>
      </w:r>
      <w:r>
        <w:rPr>
          <w:rFonts w:ascii="MS PGothic" w:cs="MS PGothic" w:eastAsia="MS PGothic" w:hAnsi="MS PGothic"/>
          <w:sz w:val="15"/>
          <w:szCs w:val="15"/>
          <w:color w:val="auto"/>
        </w:rPr>
        <w:t>‑</w:t>
      </w:r>
      <w:r>
        <w:rPr>
          <w:rFonts w:ascii="Arial" w:cs="Arial" w:eastAsia="Arial" w:hAnsi="Arial"/>
          <w:sz w:val="15"/>
          <w:szCs w:val="15"/>
          <w:color w:val="auto"/>
        </w:rPr>
        <w:t>8 No. 333-243757) pertaining to the 2020 Employee Stock Purchase Plan, as amended, of Esperion Therapeutics, Inc.</w:t>
      </w:r>
    </w:p>
    <w:p>
      <w:pPr>
        <w:spacing w:after="0" w:line="9" w:lineRule="exact"/>
        <w:rPr>
          <w:rFonts w:ascii="Arial" w:cs="Arial" w:eastAsia="Arial" w:hAnsi="Arial"/>
          <w:sz w:val="20"/>
          <w:szCs w:val="20"/>
          <w:color w:val="auto"/>
        </w:rPr>
      </w:pPr>
    </w:p>
    <w:p>
      <w:pPr>
        <w:ind w:left="620" w:right="800" w:hanging="307"/>
        <w:spacing w:after="0" w:line="196"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333-236712) pertaining to the Amended and Restated 2013 Stock Option and Incentive Plan of Esperion Therapeutics, Inc. and the 2017 Inducement Equity Plan, as amended, of Esperion Therapeutics, Inc.</w:t>
      </w:r>
    </w:p>
    <w:p>
      <w:pPr>
        <w:spacing w:after="0" w:line="1" w:lineRule="exact"/>
        <w:rPr>
          <w:rFonts w:ascii="Arial" w:cs="Arial" w:eastAsia="Arial" w:hAnsi="Arial"/>
          <w:sz w:val="21"/>
          <w:szCs w:val="21"/>
          <w:color w:val="auto"/>
        </w:rPr>
      </w:pPr>
    </w:p>
    <w:p>
      <w:pPr>
        <w:ind w:left="620" w:right="800" w:hanging="307"/>
        <w:spacing w:after="0" w:line="200"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228994)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7"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223105) pertaining to the Amended and Restated 2013 Stock Option and Incentive Plan of Esperion Therapeutics, Inc.</w:t>
      </w:r>
    </w:p>
    <w:p>
      <w:pPr>
        <w:ind w:left="620" w:hanging="307"/>
        <w:spacing w:after="0" w:line="240" w:lineRule="exact"/>
        <w:tabs>
          <w:tab w:leader="none" w:pos="620"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218084) pertaining to the 2017 Inducement Equity Plan of Esperion Therapeutics, Inc.</w:t>
      </w:r>
    </w:p>
    <w:p>
      <w:pPr>
        <w:ind w:left="620" w:right="800" w:hanging="307"/>
        <w:spacing w:after="0" w:line="196"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216169)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0"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208702)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620" w:right="800" w:hanging="307"/>
        <w:spacing w:after="0" w:line="207" w:lineRule="exact"/>
        <w:tabs>
          <w:tab w:leader="none" w:pos="615"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206180) pertaining to the Amended and Restated 2013 Stock Option and Incentive Plan of Esperion Therapeutics, Inc.</w:t>
      </w:r>
    </w:p>
    <w:p>
      <w:pPr>
        <w:ind w:left="620" w:hanging="307"/>
        <w:spacing w:after="0" w:line="240" w:lineRule="exact"/>
        <w:tabs>
          <w:tab w:leader="none" w:pos="620"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201378) pertaining to the 2013 Stock Option and Incentive Plan of Esperion Therapeutics, Inc.</w:t>
      </w:r>
    </w:p>
    <w:p>
      <w:pPr>
        <w:ind w:left="620" w:hanging="307"/>
        <w:spacing w:after="0" w:line="233" w:lineRule="exact"/>
        <w:tabs>
          <w:tab w:leader="none" w:pos="620" w:val="left"/>
        </w:tabs>
        <w:numPr>
          <w:ilvl w:val="0"/>
          <w:numId w:val="70"/>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194536) pertaining to the 2013 Stock Option and Incentive Plan of Esperion Therapeutics, Inc.</w:t>
      </w:r>
    </w:p>
    <w:p>
      <w:pPr>
        <w:spacing w:after="0" w:line="189" w:lineRule="exact"/>
        <w:rPr>
          <w:sz w:val="20"/>
          <w:szCs w:val="20"/>
          <w:color w:val="auto"/>
        </w:rPr>
      </w:pPr>
    </w:p>
    <w:p>
      <w:pPr>
        <w:ind w:right="300"/>
        <w:spacing w:after="0" w:line="334" w:lineRule="auto"/>
        <w:rPr>
          <w:sz w:val="20"/>
          <w:szCs w:val="20"/>
          <w:color w:val="auto"/>
        </w:rPr>
      </w:pPr>
      <w:r>
        <w:rPr>
          <w:rFonts w:ascii="Arial" w:cs="Arial" w:eastAsia="Arial" w:hAnsi="Arial"/>
          <w:sz w:val="14"/>
          <w:szCs w:val="14"/>
          <w:color w:val="auto"/>
        </w:rPr>
        <w:t>of our reports dated March 7, 2025, with respect to the financial statements of Esperion Therapeutics, Inc. and the effectiveness of internal control over financial reporting of Esperion Therapeutics, Inc. included in this Annual Report (Form 10-K) of Esperion Therapeutics, Inc. for the year ended December 31, 2024.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Detroit, Michigan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March 7, 2025</w:t>
      </w:r>
    </w:p>
    <w:p>
      <w:pPr>
        <w:sectPr>
          <w:pgSz w:w="11900" w:h="16838" w:orient="portrait"/>
          <w:cols w:equalWidth="0" w:num="1">
            <w:col w:w="11240"/>
          </w:cols>
          <w:pgMar w:left="320" w:top="578"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CERTIFICATIONS UNDER SECTION 302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Sheldon L. Koenig, certify that:</w:t>
      </w:r>
    </w:p>
    <w:p>
      <w:pPr>
        <w:spacing w:after="0" w:line="178" w:lineRule="exact"/>
        <w:rPr>
          <w:sz w:val="20"/>
          <w:szCs w:val="20"/>
          <w:color w:val="auto"/>
        </w:rPr>
      </w:pPr>
    </w:p>
    <w:p>
      <w:pPr>
        <w:ind w:left="620" w:hanging="307"/>
        <w:spacing w:after="0" w:line="196" w:lineRule="exact"/>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Esperion Therapeutics, Inc.;</w:t>
      </w:r>
    </w:p>
    <w:p>
      <w:pPr>
        <w:spacing w:after="0" w:line="258" w:lineRule="exact"/>
        <w:rPr>
          <w:rFonts w:ascii="Times New Roman" w:cs="Times New Roman" w:eastAsia="Times New Roman" w:hAnsi="Times New Roman"/>
          <w:sz w:val="17"/>
          <w:szCs w:val="17"/>
          <w:color w:val="auto"/>
        </w:rPr>
      </w:pPr>
    </w:p>
    <w:p>
      <w:pPr>
        <w:ind w:left="320" w:right="420" w:hanging="7"/>
        <w:spacing w:after="0" w:line="288" w:lineRule="auto"/>
        <w:tabs>
          <w:tab w:leader="none" w:pos="63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560" w:hanging="7"/>
        <w:spacing w:after="0" w:line="288" w:lineRule="auto"/>
        <w:tabs>
          <w:tab w:leader="none" w:pos="63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220" w:hanging="7"/>
        <w:spacing w:after="0" w:line="212" w:lineRule="exact"/>
        <w:tabs>
          <w:tab w:leader="none" w:pos="63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for the registrant and have:</w:t>
      </w:r>
    </w:p>
    <w:p>
      <w:pPr>
        <w:spacing w:after="0" w:line="191" w:lineRule="exact"/>
        <w:rPr>
          <w:rFonts w:ascii="Times New Roman" w:cs="Times New Roman" w:eastAsia="Times New Roman" w:hAnsi="Times New Roman"/>
          <w:sz w:val="17"/>
          <w:szCs w:val="17"/>
          <w:color w:val="auto"/>
        </w:rPr>
      </w:pPr>
    </w:p>
    <w:p>
      <w:pPr>
        <w:ind w:left="320" w:right="240" w:firstLine="614"/>
        <w:spacing w:after="0" w:line="270" w:lineRule="auto"/>
        <w:tabs>
          <w:tab w:leader="none" w:pos="124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320" w:right="20" w:firstLine="614"/>
        <w:spacing w:after="0" w:line="270" w:lineRule="auto"/>
        <w:tabs>
          <w:tab w:leader="none" w:pos="123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320" w:right="720" w:firstLine="614"/>
        <w:spacing w:after="0" w:line="288" w:lineRule="auto"/>
        <w:tabs>
          <w:tab w:leader="none" w:pos="124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70" w:lineRule="auto"/>
        <w:tabs>
          <w:tab w:leader="none" w:pos="123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300" w:hanging="7"/>
        <w:spacing w:after="0" w:line="288" w:lineRule="auto"/>
        <w:tabs>
          <w:tab w:leader="none" w:pos="63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88" w:lineRule="auto"/>
        <w:tabs>
          <w:tab w:leader="none" w:pos="124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320" w:right="100" w:firstLine="614"/>
        <w:spacing w:after="0" w:line="288" w:lineRule="auto"/>
        <w:tabs>
          <w:tab w:leader="none" w:pos="123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7, 2025</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wp:posOffset>
            </wp:positionV>
            <wp:extent cx="35610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Sheldon L. Koenig</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5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CERTIFICATIONS UNDER SECTION 302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Benjamin Halladay, certify that:</w:t>
      </w:r>
    </w:p>
    <w:p>
      <w:pPr>
        <w:spacing w:after="0" w:line="178" w:lineRule="exact"/>
        <w:rPr>
          <w:sz w:val="20"/>
          <w:szCs w:val="20"/>
          <w:color w:val="auto"/>
        </w:rPr>
      </w:pPr>
    </w:p>
    <w:p>
      <w:pPr>
        <w:ind w:left="620" w:hanging="307"/>
        <w:spacing w:after="0" w:line="196" w:lineRule="exact"/>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Esperion Therapeutics, Inc.;</w:t>
      </w:r>
    </w:p>
    <w:p>
      <w:pPr>
        <w:spacing w:after="0" w:line="258" w:lineRule="exact"/>
        <w:rPr>
          <w:rFonts w:ascii="Times New Roman" w:cs="Times New Roman" w:eastAsia="Times New Roman" w:hAnsi="Times New Roman"/>
          <w:sz w:val="17"/>
          <w:szCs w:val="17"/>
          <w:color w:val="auto"/>
        </w:rPr>
      </w:pPr>
    </w:p>
    <w:p>
      <w:pPr>
        <w:ind w:left="320" w:right="420" w:hanging="7"/>
        <w:spacing w:after="0" w:line="288" w:lineRule="auto"/>
        <w:tabs>
          <w:tab w:leader="none" w:pos="6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560" w:hanging="7"/>
        <w:spacing w:after="0" w:line="288" w:lineRule="auto"/>
        <w:tabs>
          <w:tab w:leader="none" w:pos="6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220" w:hanging="7"/>
        <w:spacing w:after="0" w:line="212" w:lineRule="exact"/>
        <w:tabs>
          <w:tab w:leader="none" w:pos="6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for the registrant and have:</w:t>
      </w:r>
    </w:p>
    <w:p>
      <w:pPr>
        <w:spacing w:after="0" w:line="191" w:lineRule="exact"/>
        <w:rPr>
          <w:rFonts w:ascii="Times New Roman" w:cs="Times New Roman" w:eastAsia="Times New Roman" w:hAnsi="Times New Roman"/>
          <w:sz w:val="17"/>
          <w:szCs w:val="17"/>
          <w:color w:val="auto"/>
        </w:rPr>
      </w:pPr>
    </w:p>
    <w:p>
      <w:pPr>
        <w:ind w:left="320" w:right="240" w:firstLine="614"/>
        <w:spacing w:after="0" w:line="270" w:lineRule="auto"/>
        <w:tabs>
          <w:tab w:leader="none" w:pos="124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320" w:right="20" w:firstLine="614"/>
        <w:spacing w:after="0" w:line="270" w:lineRule="auto"/>
        <w:tabs>
          <w:tab w:leader="none" w:pos="123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320" w:right="720" w:firstLine="614"/>
        <w:spacing w:after="0" w:line="288" w:lineRule="auto"/>
        <w:tabs>
          <w:tab w:leader="none" w:pos="124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70" w:lineRule="auto"/>
        <w:tabs>
          <w:tab w:leader="none" w:pos="123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300" w:hanging="7"/>
        <w:spacing w:after="0" w:line="288" w:lineRule="auto"/>
        <w:tabs>
          <w:tab w:leader="none" w:pos="63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88" w:lineRule="auto"/>
        <w:tabs>
          <w:tab w:leader="none" w:pos="124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320" w:right="100" w:firstLine="614"/>
        <w:spacing w:after="0" w:line="288" w:lineRule="auto"/>
        <w:tabs>
          <w:tab w:leader="none" w:pos="1239"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7, 2025</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wp:posOffset>
            </wp:positionV>
            <wp:extent cx="36429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Benjamin Halladay</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Financial Officer and</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p>
      <w:pPr>
        <w:sectPr>
          <w:pgSz w:w="11900" w:h="16838" w:orient="portrait"/>
          <w:cols w:equalWidth="0" w:num="1">
            <w:col w:w="11240"/>
          </w:cols>
          <w:pgMar w:left="320" w:top="85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CERTIFICATIONS UNDER SECTION 906</w:t>
      </w:r>
    </w:p>
    <w:p>
      <w:pPr>
        <w:spacing w:after="0" w:line="182" w:lineRule="exact"/>
        <w:rPr>
          <w:sz w:val="20"/>
          <w:szCs w:val="20"/>
          <w:color w:val="auto"/>
        </w:rPr>
      </w:pPr>
    </w:p>
    <w:p>
      <w:pPr>
        <w:jc w:val="both"/>
        <w:ind w:right="200" w:firstLine="620"/>
        <w:spacing w:after="0" w:line="235" w:lineRule="exact"/>
        <w:rPr>
          <w:sz w:val="20"/>
          <w:szCs w:val="20"/>
          <w:color w:val="auto"/>
        </w:rPr>
      </w:pPr>
      <w:r>
        <w:rPr>
          <w:rFonts w:ascii="Times New Roman" w:cs="Times New Roman" w:eastAsia="Times New Roman" w:hAnsi="Times New Roman"/>
          <w:sz w:val="17"/>
          <w:szCs w:val="17"/>
          <w:color w:val="auto"/>
        </w:rPr>
        <w:t>Pursuant to section 906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(subsections (a) and (b) of section 1350, chapter 63 of title 18, United States Code), each of the undersigned officers of Esperion Therapeutics, Inc., a Delaware corporation (the “Company”), does hereby certify, to such officer’s knowledge, that:</w:t>
      </w:r>
    </w:p>
    <w:p>
      <w:pPr>
        <w:spacing w:after="0" w:line="151" w:lineRule="exact"/>
        <w:rPr>
          <w:sz w:val="20"/>
          <w:szCs w:val="20"/>
          <w:color w:val="auto"/>
        </w:rPr>
      </w:pPr>
    </w:p>
    <w:p>
      <w:pPr>
        <w:jc w:val="both"/>
        <w:ind w:right="180" w:firstLine="620"/>
        <w:spacing w:after="0" w:line="226" w:lineRule="exact"/>
        <w:rPr>
          <w:sz w:val="20"/>
          <w:szCs w:val="20"/>
          <w:color w:val="auto"/>
        </w:rPr>
      </w:pPr>
      <w:r>
        <w:rPr>
          <w:rFonts w:ascii="Times New Roman" w:cs="Times New Roman" w:eastAsia="Times New Roman" w:hAnsi="Times New Roman"/>
          <w:sz w:val="17"/>
          <w:szCs w:val="17"/>
          <w:color w:val="auto"/>
        </w:rPr>
        <w:t>The Annual Report for the year ended December 31, 2024 (the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the Company fully complies with the requirements of Section 13(a) or 15(d) of the Securities Exchange Act of 1934, as amended, and the information contained in the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Dated:   March 7, 2025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SHELDON L. KOENIG</w:t>
            </w:r>
          </w:p>
        </w:tc>
      </w:tr>
      <w:tr>
        <w:trPr>
          <w:trHeight w:val="205"/>
        </w:trPr>
        <w:tc>
          <w:tcPr>
            <w:tcW w:w="5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Sheldon L. Koenig</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7"/>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78"/>
        </w:trPr>
        <w:tc>
          <w:tcPr>
            <w:tcW w:w="56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BENJAMIN HALLADAY</w:t>
            </w:r>
          </w:p>
        </w:tc>
      </w:tr>
      <w:tr>
        <w:trPr>
          <w:trHeight w:val="205"/>
        </w:trPr>
        <w:tc>
          <w:tcPr>
            <w:tcW w:w="5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Benjamin Halladay</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 and</w:t>
            </w:r>
          </w:p>
        </w:tc>
      </w:tr>
      <w:tr>
        <w:trPr>
          <w:trHeight w:val="227"/>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endash "/>
      <w:numFmt w:val="bullet"/>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lowerRoman"/>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lowerLetter"/>
      <w:start w:val="2"/>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3"/>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2"/>
    </w:lvl>
  </w:abstractNum>
  <w:abstractNum w:abstractNumId="54">
    <w:nsid w:val="579BE4F1"/>
    <w:multiLevelType w:val="hybridMultilevel"/>
    <w:lvl w:ilvl="0">
      <w:lvlJc w:val="left"/>
      <w:lvlText w:val="%1."/>
      <w:numFmt w:val="decimal"/>
      <w:start w:val="2"/>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decimal"/>
      <w:start w:val="3"/>
    </w:lvl>
  </w:abstractNum>
  <w:abstractNum w:abstractNumId="57">
    <w:nsid w:val="2F305DEF"/>
    <w:multiLevelType w:val="hybridMultilevel"/>
    <w:lvl w:ilvl="0">
      <w:lvlJc w:val="left"/>
      <w:lvlText w:val="%1."/>
      <w:numFmt w:val="decimal"/>
      <w:start w:val="5"/>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lvl w:ilvl="1">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0" Type="http://schemas.openxmlformats.org/officeDocument/2006/relationships/image" Target="media/image105.png"/><Relationship Id="rId153"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112" Type="http://schemas.openxmlformats.org/officeDocument/2006/relationships/hyperlink" Target="https://www.sec.gov/Archives/edgar/data/1434868/000104746913006896/a2215641zex-3_2.htm" TargetMode="External"/><Relationship Id="rId113" Type="http://schemas.openxmlformats.org/officeDocument/2006/relationships/hyperlink" Target="https://www.sec.gov/Archives/edgar/data/1434868/000162828022015488/exhibit31.htm" TargetMode="External"/><Relationship Id="rId114" Type="http://schemas.openxmlformats.org/officeDocument/2006/relationships/hyperlink" Target="https://www.sec.gov/Archives/edgar/data/1434868/000162828023022276/exhibit3162023.htm" TargetMode="External"/><Relationship Id="rId115" Type="http://schemas.openxmlformats.org/officeDocument/2006/relationships/hyperlink" Target="https://www.sec.gov/Archives/edgar/data/1434868/000162828022025245/exhibit31certificateofvali.htm" TargetMode="External"/><Relationship Id="rId116" Type="http://schemas.openxmlformats.org/officeDocument/2006/relationships/hyperlink" Target="https://www.sec.gov/Archives/edgar/data/1434868/000162828021008918/ex31-secondamendedandresta.htm" TargetMode="External"/><Relationship Id="rId117" Type="http://schemas.openxmlformats.org/officeDocument/2006/relationships/hyperlink" Target="https://www.sec.gov/Archives/edgar/data/1434868/000104746913006896/a2215641zex-4_1.htm" TargetMode="External"/><Relationship Id="rId118" Type="http://schemas.openxmlformats.org/officeDocument/2006/relationships/hyperlink" Target="https://www.sec.gov/Archives/edgar/data/1434868/000104746913006083/a2214660zex-4_4.htm" TargetMode="External"/><Relationship Id="rId119" Type="http://schemas.openxmlformats.org/officeDocument/2006/relationships/hyperlink" Target="https://www.sec.gov/Archives/edgar/data/1434868/000104746913006083/a2214660zex-4_5.htm" TargetMode="External"/><Relationship Id="rId120" Type="http://schemas.openxmlformats.org/officeDocument/2006/relationships/hyperlink" Target="https://www.sec.gov/Archives/edgar/data/1434868/000162828024007066/exhibit44.htm" TargetMode="External"/><Relationship Id="rId121" Type="http://schemas.openxmlformats.org/officeDocument/2006/relationships/hyperlink" Target="https://www.sec.gov/Archives/edgar/data/1434868/000110465920125920/tm2036069d1_ex4-1.htm" TargetMode="External"/><Relationship Id="rId122" Type="http://schemas.openxmlformats.org/officeDocument/2006/relationships/hyperlink" Target="https://www.sec.gov/Archives/edgar/data/1434868/000104746913006083/a2214660zex-4_3.htm" TargetMode="External"/><Relationship Id="rId123" Type="http://schemas.openxmlformats.org/officeDocument/2006/relationships/hyperlink" Target="https://www.sec.gov/Archives/edgar/data/1434868/000110465923035634/tm2310183d1_ex10-2.htm" TargetMode="External"/><Relationship Id="rId124" Type="http://schemas.openxmlformats.org/officeDocument/2006/relationships/hyperlink" Target="https://www.sec.gov/Archives/edgar/data/1434868/000110465923035634/tm2310183d1_ex10-1.htm" TargetMode="External"/><Relationship Id="rId125" Type="http://schemas.openxmlformats.org/officeDocument/2006/relationships/hyperlink" Target="https://www.sec.gov/Archives/edgar/data/1434868/000110465924129592/tm2430949d2_ex4-1.htm" TargetMode="External"/><Relationship Id="rId126" Type="http://schemas.openxmlformats.org/officeDocument/2006/relationships/hyperlink" Target="https://www.sec.gov/Archives/edgar/data/1434868/000104746913006083/a2214660zex-10_7.htm" TargetMode="External"/><Relationship Id="rId127" Type="http://schemas.openxmlformats.org/officeDocument/2006/relationships/hyperlink" Target="https://www.sec.gov/Archives/edgar/data/1434868/000110465914007554/a14-5116_1ex10d1.htm" TargetMode="External"/><Relationship Id="rId128" Type="http://schemas.openxmlformats.org/officeDocument/2006/relationships/hyperlink" Target="https://www.sec.gov/Archives/edgar/data/1434868/000104746913006083/a2214660zex-10_8.htm" TargetMode="External"/><Relationship Id="rId129" Type="http://schemas.openxmlformats.org/officeDocument/2006/relationships/hyperlink" Target="https://www.sec.gov/Archives/edgar/data/1434868/000104746913006083/a2214660zex-10_9.htm" TargetMode="External"/><Relationship Id="rId131" Type="http://schemas.openxmlformats.org/officeDocument/2006/relationships/hyperlink" Target="https://www.sec.gov/Archives/edgar/data/1434868/000110465916154591/a16-17205_1ex10d1.htm" TargetMode="External"/><Relationship Id="rId132" Type="http://schemas.openxmlformats.org/officeDocument/2006/relationships/hyperlink" Target="https://www.sec.gov/Archives/edgar/data/1434868/000110465917033789/a17-13191_1ex99d1.htm" TargetMode="External"/><Relationship Id="rId133" Type="http://schemas.openxmlformats.org/officeDocument/2006/relationships/hyperlink" Target="https://www.sec.gov/Archives/edgar/data/1434868/000110465918049208/a18-14080_1ex10d1.htm" TargetMode="External"/><Relationship Id="rId134" Type="http://schemas.openxmlformats.org/officeDocument/2006/relationships/hyperlink" Target="https://www.sec.gov/Archives/edgar/data/1434868/000104746919000791/a2237755zex-10_16.htm" TargetMode="External"/><Relationship Id="rId135" Type="http://schemas.openxmlformats.org/officeDocument/2006/relationships/hyperlink" Target="https://www.sec.gov/Archives/edgar/data/1434868/000110465919037687/a19-12141_1ex10d1.htm" TargetMode="External"/><Relationship Id="rId136" Type="http://schemas.openxmlformats.org/officeDocument/2006/relationships/hyperlink" Target="https://www.sec.gov/Archives/edgar/data/1434868/000110465920026203/ex-10d16.htm" TargetMode="External"/><Relationship Id="rId137" Type="http://schemas.openxmlformats.org/officeDocument/2006/relationships/hyperlink" Target="https://www.sec.gov/Archives/edgar/data/1434868/000162828024025418/exhibit102.htm" TargetMode="External"/><Relationship Id="rId138" Type="http://schemas.openxmlformats.org/officeDocument/2006/relationships/hyperlink" Target="https://www.sec.gov/Archives/edgar/data/1434868/000110465920092840/espr-20200630xex10d2.htm" TargetMode="External"/><Relationship Id="rId139" Type="http://schemas.openxmlformats.org/officeDocument/2006/relationships/hyperlink" Target="https://www.sec.gov/Archives/edgar/data/1434868/000110465920092840/espr-20200630xex10d3.htm" TargetMode="External"/><Relationship Id="rId140" Type="http://schemas.openxmlformats.org/officeDocument/2006/relationships/hyperlink" Target="https://www.sec.gov/Archives/edgar/data/1434868/000110465920125920/tm2036069d1_ex10-1.htm" TargetMode="External"/><Relationship Id="rId141" Type="http://schemas.openxmlformats.org/officeDocument/2006/relationships/hyperlink" Target="https://www.sec.gov/Archives/edgar/data/1434868/000110465920125920/tm2036069d1_ex10-2.htm" TargetMode="External"/><Relationship Id="rId142" Type="http://schemas.openxmlformats.org/officeDocument/2006/relationships/hyperlink" Target="https://www.sec.gov/Archives/edgar/data/1434868/000162828021002865/ex-1022oberlandamendment.htm" TargetMode="External"/><Relationship Id="rId143" Type="http://schemas.openxmlformats.org/officeDocument/2006/relationships/hyperlink" Target="https://www.sec.gov/Archives/edgar/data/0001434868/000110465921129227/tm2130916d1_ex10-1.htm" TargetMode="External"/><Relationship Id="rId144" Type="http://schemas.openxmlformats.org/officeDocument/2006/relationships/hyperlink" Target="https://www.sec.gov/Archives/edgar/data/1434868/000162828021015248/ex101-licenseandcollaborat.htm" TargetMode="External"/><Relationship Id="rId145" Type="http://schemas.openxmlformats.org/officeDocument/2006/relationships/hyperlink" Target="https://www.sec.gov/Archives/edgar/data/1434868/000162828021007598/ex101ripaamendment.htm" TargetMode="External"/><Relationship Id="rId146" Type="http://schemas.openxmlformats.org/officeDocument/2006/relationships/hyperlink" Target="https://www.sec.gov/Archives/edgar/data/0001434868/000162828021007598/ex101ripaamendment.htm" TargetMode="External"/><Relationship Id="rId147" Type="http://schemas.openxmlformats.org/officeDocument/2006/relationships/hyperlink" Target="https://www.sec.gov/Archives/edgar/data/1434868/000162828021008918/ex1012ndamendmentdseagreem.htm" TargetMode="External"/><Relationship Id="rId148" Type="http://schemas.openxmlformats.org/officeDocument/2006/relationships/hyperlink" Target="https://www.sec.gov/Archives/edgar/data/0001434868/000162828021008918/ex1012ndamendmentdseagreem.htm" TargetMode="External"/><Relationship Id="rId149" Type="http://schemas.openxmlformats.org/officeDocument/2006/relationships/hyperlink" Target="https://www.sec.gov/Archives/edgar/data/1434868/000162828024025418/exhibit101.htm" TargetMode="External"/><Relationship Id="rId150" Type="http://schemas.openxmlformats.org/officeDocument/2006/relationships/hyperlink" Target="https://www.sec.gov/Archives/edgar/data/1434868/000110465922119533/tm2230242d1_ex10-1.htm" TargetMode="External"/><Relationship Id="rId151" Type="http://schemas.openxmlformats.org/officeDocument/2006/relationships/hyperlink" Target="https://www.sec.gov/Archives/edgar/data/1434868/000162828023004167/a1028ripaamendment3.htm" TargetMode="External"/><Relationship Id="rId152" Type="http://schemas.openxmlformats.org/officeDocument/2006/relationships/hyperlink" Target="https://www.sec.gov/Archives/edgar/data/1434868/000162828022016957/a101koenigemploymentagreem.htm" TargetMode="External"/><Relationship Id="rId154" Type="http://schemas.openxmlformats.org/officeDocument/2006/relationships/hyperlink" Target="https://www.sec.gov/Archives/edgar/data/1434868/000162828024034766/exhibit101transitionagreem.htm" TargetMode="External"/><Relationship Id="rId155" Type="http://schemas.openxmlformats.org/officeDocument/2006/relationships/hyperlink" Target="https://www.sec.gov/Archives/edgar/data/1434868/000162828022016957/a102foodyemploymentagreeme.htm" TargetMode="External"/><Relationship Id="rId156" Type="http://schemas.openxmlformats.org/officeDocument/2006/relationships/hyperlink" Target="https://www.sec.gov/Archives/edgar/data/1434868/000162828022016957/a103warrenemploymentagreem.htm" TargetMode="External"/><Relationship Id="rId157" Type="http://schemas.openxmlformats.org/officeDocument/2006/relationships/hyperlink" Target="https://www.sec.gov/Archives/edgar/data/1434868/000162828022016957/a104lookeremploymentagreem.htm" TargetMode="External"/><Relationship Id="rId158" Type="http://schemas.openxmlformats.org/officeDocument/2006/relationships/hyperlink" Target="https://www.sec.gov/Archives/edgar/data/1434868/000162828023030469/exhibit993.htm" TargetMode="External"/><Relationship Id="rId159" Type="http://schemas.openxmlformats.org/officeDocument/2006/relationships/hyperlink" Target="https://www.sec.gov/Archives/edgar/data/1434868/000162828024036762/exhibit101royaltysaleagree.htm" TargetMode="External"/><Relationship Id="rId160" Type="http://schemas.openxmlformats.org/officeDocument/2006/relationships/hyperlink" Target="https://www.sec.gov/Archives/edgar/data/1434868/000162828024020862/exhibit101settlementagreem.htm" TargetMode="External"/><Relationship Id="rId161" Type="http://schemas.openxmlformats.org/officeDocument/2006/relationships/hyperlink" Target="https://www.sec.gov/Archives/edgar/data/1434868/000162828024020862/a1023rdamendmentdse.htm" TargetMode="External"/><Relationship Id="rId162" Type="http://schemas.openxmlformats.org/officeDocument/2006/relationships/hyperlink" Target="https://www.sec.gov/Archives/edgar/data/1434868/000162828024020862/a103ds1stamendment.htm" TargetMode="External"/><Relationship Id="rId163" Type="http://schemas.openxmlformats.org/officeDocument/2006/relationships/hyperlink" Target="https://www.sec.gov/Archives/edgar/data/1434868/000110465924128212/tm2430949d1_ex10-1.htm" TargetMode="External"/><Relationship Id="rId164" Type="http://schemas.openxmlformats.org/officeDocument/2006/relationships/hyperlink" Target="https://www.sec.gov/Archives/edgar/data/1434868/000162828024007066/a971compensationrecoverypo.htm" TargetMode="External"/><Relationship Id="rId165" Type="http://schemas.openxmlformats.org/officeDocument/2006/relationships/hyperlink" Target="https://www.sec.gov/Archives/edgar/data/1434868/000104746913006083/a221466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2025-03-07T08:14:32Z</dcterms:created>
  <dcterms:modified xsi:type="dcterms:W3CDTF">2025-03-07T08:14:32Z</dcterms:modified>
</cp:coreProperties>
</file>