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220345</wp:posOffset>
            </wp:positionH>
            <wp:positionV relativeFrom="page">
              <wp:posOffset>338455</wp:posOffset>
            </wp:positionV>
            <wp:extent cx="71145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4540" cy="6985"/>
                    </a:xfrm>
                    <a:prstGeom prst="rect">
                      <a:avLst/>
                    </a:prstGeom>
                    <a:noFill/>
                  </pic:spPr>
                </pic:pic>
              </a:graphicData>
            </a:graphic>
          </wp:anchor>
        </w:drawing>
        <w:drawing>
          <wp:anchor simplePos="0" relativeHeight="251657728" behindDoc="1" locked="0" layoutInCell="0" allowOverlap="1">
            <wp:simplePos x="0" y="0"/>
            <wp:positionH relativeFrom="page">
              <wp:posOffset>220345</wp:posOffset>
            </wp:positionH>
            <wp:positionV relativeFrom="page">
              <wp:posOffset>358140</wp:posOffset>
            </wp:positionV>
            <wp:extent cx="71145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4540" cy="6985"/>
                    </a:xfrm>
                    <a:prstGeom prst="rect">
                      <a:avLst/>
                    </a:prstGeom>
                    <a:noFill/>
                  </pic:spPr>
                </pic:pic>
              </a:graphicData>
            </a:graphic>
          </wp:anchor>
        </w:drawing>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2306955</wp:posOffset>
            </wp:positionH>
            <wp:positionV relativeFrom="paragraph">
              <wp:posOffset>48260</wp:posOffset>
            </wp:positionV>
            <wp:extent cx="25603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0320" cy="6985"/>
                    </a:xfrm>
                    <a:prstGeom prst="rect">
                      <a:avLst/>
                    </a:prstGeom>
                    <a:noFill/>
                  </pic:spPr>
                </pic:pic>
              </a:graphicData>
            </a:graphic>
          </wp:anchor>
        </w:drawing>
      </w:r>
    </w:p>
    <w:p>
      <w:pPr>
        <w:spacing w:after="0" w:line="1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45" w:lineRule="exact"/>
        <w:rPr>
          <w:sz w:val="24"/>
          <w:szCs w:val="24"/>
          <w:color w:val="auto"/>
        </w:rPr>
      </w:pPr>
    </w:p>
    <w:p>
      <w:pPr>
        <w:ind w:left="2480" w:hanging="440"/>
        <w:spacing w:after="0"/>
        <w:tabs>
          <w:tab w:leader="none" w:pos="24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ind w:left="2480" w:hanging="440"/>
        <w:spacing w:after="0"/>
        <w:tabs>
          <w:tab w:leader="none" w:pos="24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800" w:type="dxa"/>
            <w:vAlign w:val="bottom"/>
          </w:tcPr>
          <w:p>
            <w:pPr>
              <w:spacing w:after="0"/>
              <w:rPr>
                <w:sz w:val="14"/>
                <w:szCs w:val="14"/>
                <w:color w:val="auto"/>
              </w:rPr>
            </w:pPr>
          </w:p>
        </w:tc>
        <w:tc>
          <w:tcPr>
            <w:tcW w:w="28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4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295"/>
        </w:trPr>
        <w:tc>
          <w:tcPr>
            <w:tcW w:w="3800" w:type="dxa"/>
            <w:vAlign w:val="bottom"/>
          </w:tcPr>
          <w:p>
            <w:pPr>
              <w:spacing w:after="0"/>
              <w:rPr>
                <w:sz w:val="24"/>
                <w:szCs w:val="24"/>
                <w:color w:val="auto"/>
              </w:rPr>
            </w:pPr>
          </w:p>
        </w:tc>
        <w:tc>
          <w:tcPr>
            <w:tcW w:w="2840" w:type="dxa"/>
            <w:vAlign w:val="bottom"/>
          </w:tcPr>
          <w:p>
            <w:pPr>
              <w:jc w:val="center"/>
              <w:ind w:left="772"/>
              <w:spacing w:after="0"/>
              <w:rPr>
                <w:sz w:val="20"/>
                <w:szCs w:val="20"/>
                <w:color w:val="auto"/>
              </w:rPr>
            </w:pPr>
            <w:r>
              <w:rPr>
                <w:rFonts w:ascii="Times New Roman" w:cs="Times New Roman" w:eastAsia="Times New Roman" w:hAnsi="Times New Roman"/>
                <w:sz w:val="13"/>
                <w:szCs w:val="13"/>
                <w:b w:val="1"/>
                <w:bCs w:val="1"/>
                <w:color w:val="auto"/>
                <w:w w:val="97"/>
              </w:rPr>
              <w:t>Commission file number: 001-35986</w:t>
            </w: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0" w:type="dxa"/>
            <w:vAlign w:val="bottom"/>
          </w:tcPr>
          <w:p>
            <w:pPr>
              <w:spacing w:after="0"/>
              <w:rPr>
                <w:sz w:val="24"/>
                <w:szCs w:val="24"/>
                <w:color w:val="auto"/>
              </w:rPr>
            </w:pPr>
          </w:p>
        </w:tc>
        <w:tc>
          <w:tcPr>
            <w:tcW w:w="7440" w:type="dxa"/>
            <w:vAlign w:val="bottom"/>
            <w:gridSpan w:val="2"/>
          </w:tcPr>
          <w:p>
            <w:pPr>
              <w:jc w:val="center"/>
              <w:ind w:right="3679"/>
              <w:spacing w:after="0"/>
              <w:rPr>
                <w:sz w:val="20"/>
                <w:szCs w:val="20"/>
                <w:color w:val="auto"/>
              </w:rPr>
            </w:pPr>
            <w:r>
              <w:rPr>
                <w:rFonts w:ascii="Times New Roman" w:cs="Times New Roman" w:eastAsia="Times New Roman" w:hAnsi="Times New Roman"/>
                <w:sz w:val="25"/>
                <w:szCs w:val="25"/>
                <w:b w:val="1"/>
                <w:bCs w:val="1"/>
                <w:color w:val="auto"/>
              </w:rPr>
              <w:t>Esperion Therapeutics, Inc.</w:t>
            </w:r>
          </w:p>
        </w:tc>
        <w:tc>
          <w:tcPr>
            <w:tcW w:w="0" w:type="dxa"/>
            <w:vAlign w:val="bottom"/>
          </w:tcPr>
          <w:p>
            <w:pPr>
              <w:spacing w:after="0"/>
              <w:rPr>
                <w:sz w:val="1"/>
                <w:szCs w:val="1"/>
                <w:color w:val="auto"/>
              </w:rPr>
            </w:pPr>
          </w:p>
        </w:tc>
      </w:tr>
      <w:tr>
        <w:trPr>
          <w:trHeight w:val="165"/>
        </w:trPr>
        <w:tc>
          <w:tcPr>
            <w:tcW w:w="3800" w:type="dxa"/>
            <w:vAlign w:val="bottom"/>
          </w:tcPr>
          <w:p>
            <w:pPr>
              <w:spacing w:after="0"/>
              <w:rPr>
                <w:sz w:val="14"/>
                <w:szCs w:val="14"/>
                <w:color w:val="auto"/>
              </w:rPr>
            </w:pPr>
          </w:p>
        </w:tc>
        <w:tc>
          <w:tcPr>
            <w:tcW w:w="7440" w:type="dxa"/>
            <w:vAlign w:val="bottom"/>
            <w:gridSpan w:val="2"/>
          </w:tcPr>
          <w:p>
            <w:pPr>
              <w:jc w:val="center"/>
              <w:ind w:right="3699"/>
              <w:spacing w:after="0"/>
              <w:rPr>
                <w:sz w:val="20"/>
                <w:szCs w:val="20"/>
                <w:color w:val="auto"/>
              </w:rPr>
            </w:pPr>
            <w:r>
              <w:rPr>
                <w:rFonts w:ascii="Times New Roman" w:cs="Times New Roman" w:eastAsia="Times New Roman" w:hAnsi="Times New Roman"/>
                <w:sz w:val="13"/>
                <w:szCs w:val="13"/>
                <w:color w:val="auto"/>
                <w:w w:val="98"/>
              </w:rPr>
              <w:t>(Exact name of registrant as specified in its charter)</w:t>
            </w:r>
          </w:p>
        </w:tc>
        <w:tc>
          <w:tcPr>
            <w:tcW w:w="0" w:type="dxa"/>
            <w:vAlign w:val="bottom"/>
          </w:tcPr>
          <w:p>
            <w:pPr>
              <w:spacing w:after="0"/>
              <w:rPr>
                <w:sz w:val="1"/>
                <w:szCs w:val="1"/>
                <w:color w:val="auto"/>
              </w:rPr>
            </w:pPr>
          </w:p>
        </w:tc>
      </w:tr>
      <w:tr>
        <w:trPr>
          <w:trHeight w:val="255"/>
        </w:trPr>
        <w:tc>
          <w:tcPr>
            <w:tcW w:w="3800" w:type="dxa"/>
            <w:vAlign w:val="bottom"/>
          </w:tcPr>
          <w:p>
            <w:pPr>
              <w:jc w:val="center"/>
              <w:ind w:left="1539"/>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840" w:type="dxa"/>
            <w:vAlign w:val="bottom"/>
          </w:tcPr>
          <w:p>
            <w:pPr>
              <w:spacing w:after="0"/>
              <w:rPr>
                <w:sz w:val="22"/>
                <w:szCs w:val="22"/>
                <w:color w:val="auto"/>
              </w:rPr>
            </w:pPr>
          </w:p>
        </w:tc>
        <w:tc>
          <w:tcPr>
            <w:tcW w:w="4600" w:type="dxa"/>
            <w:vAlign w:val="bottom"/>
          </w:tcPr>
          <w:p>
            <w:pPr>
              <w:jc w:val="center"/>
              <w:ind w:right="759"/>
              <w:spacing w:after="0"/>
              <w:rPr>
                <w:sz w:val="20"/>
                <w:szCs w:val="20"/>
                <w:color w:val="auto"/>
              </w:rPr>
            </w:pPr>
            <w:r>
              <w:rPr>
                <w:rFonts w:ascii="Times New Roman" w:cs="Times New Roman" w:eastAsia="Times New Roman" w:hAnsi="Times New Roman"/>
                <w:sz w:val="13"/>
                <w:szCs w:val="13"/>
                <w:b w:val="1"/>
                <w:bCs w:val="1"/>
                <w:color w:val="auto"/>
                <w:w w:val="98"/>
              </w:rPr>
              <w:t>26-1870780</w:t>
            </w:r>
          </w:p>
        </w:tc>
        <w:tc>
          <w:tcPr>
            <w:tcW w:w="0" w:type="dxa"/>
            <w:vAlign w:val="bottom"/>
          </w:tcPr>
          <w:p>
            <w:pPr>
              <w:spacing w:after="0"/>
              <w:rPr>
                <w:sz w:val="1"/>
                <w:szCs w:val="1"/>
                <w:color w:val="auto"/>
              </w:rPr>
            </w:pPr>
          </w:p>
        </w:tc>
      </w:tr>
      <w:tr>
        <w:trPr>
          <w:trHeight w:val="132"/>
        </w:trPr>
        <w:tc>
          <w:tcPr>
            <w:tcW w:w="3800" w:type="dxa"/>
            <w:vAlign w:val="bottom"/>
          </w:tcPr>
          <w:p>
            <w:pPr>
              <w:jc w:val="center"/>
              <w:ind w:left="1539"/>
              <w:spacing w:after="0" w:line="132" w:lineRule="exact"/>
              <w:rPr>
                <w:sz w:val="20"/>
                <w:szCs w:val="20"/>
                <w:color w:val="auto"/>
              </w:rPr>
            </w:pPr>
            <w:r>
              <w:rPr>
                <w:rFonts w:ascii="Times New Roman" w:cs="Times New Roman" w:eastAsia="Times New Roman" w:hAnsi="Times New Roman"/>
                <w:sz w:val="13"/>
                <w:szCs w:val="13"/>
                <w:color w:val="auto"/>
                <w:w w:val="98"/>
              </w:rPr>
              <w:t>(State or other jurisdiction of</w:t>
            </w:r>
          </w:p>
        </w:tc>
        <w:tc>
          <w:tcPr>
            <w:tcW w:w="2840" w:type="dxa"/>
            <w:vAlign w:val="bottom"/>
          </w:tcPr>
          <w:p>
            <w:pPr>
              <w:spacing w:after="0"/>
              <w:rPr>
                <w:sz w:val="11"/>
                <w:szCs w:val="11"/>
                <w:color w:val="auto"/>
              </w:rPr>
            </w:pPr>
          </w:p>
        </w:tc>
        <w:tc>
          <w:tcPr>
            <w:tcW w:w="4600" w:type="dxa"/>
            <w:vAlign w:val="bottom"/>
          </w:tcPr>
          <w:p>
            <w:pPr>
              <w:jc w:val="center"/>
              <w:ind w:right="759"/>
              <w:spacing w:after="0" w:line="132" w:lineRule="exact"/>
              <w:rPr>
                <w:sz w:val="20"/>
                <w:szCs w:val="20"/>
                <w:color w:val="auto"/>
              </w:rPr>
            </w:pPr>
            <w:r>
              <w:rPr>
                <w:rFonts w:ascii="Times New Roman" w:cs="Times New Roman" w:eastAsia="Times New Roman" w:hAnsi="Times New Roman"/>
                <w:sz w:val="13"/>
                <w:szCs w:val="13"/>
                <w:color w:val="auto"/>
                <w:w w:val="96"/>
              </w:rPr>
              <w:t>(I.R.S. Employer</w:t>
            </w:r>
          </w:p>
        </w:tc>
        <w:tc>
          <w:tcPr>
            <w:tcW w:w="0" w:type="dxa"/>
            <w:vAlign w:val="bottom"/>
          </w:tcPr>
          <w:p>
            <w:pPr>
              <w:spacing w:after="0"/>
              <w:rPr>
                <w:sz w:val="1"/>
                <w:szCs w:val="1"/>
                <w:color w:val="auto"/>
              </w:rPr>
            </w:pPr>
          </w:p>
        </w:tc>
      </w:tr>
      <w:tr>
        <w:trPr>
          <w:trHeight w:val="165"/>
        </w:trPr>
        <w:tc>
          <w:tcPr>
            <w:tcW w:w="3800" w:type="dxa"/>
            <w:vAlign w:val="bottom"/>
          </w:tcPr>
          <w:p>
            <w:pPr>
              <w:jc w:val="center"/>
              <w:ind w:left="1559"/>
              <w:spacing w:after="0"/>
              <w:rPr>
                <w:sz w:val="20"/>
                <w:szCs w:val="20"/>
                <w:color w:val="auto"/>
              </w:rPr>
            </w:pPr>
            <w:r>
              <w:rPr>
                <w:rFonts w:ascii="Times New Roman" w:cs="Times New Roman" w:eastAsia="Times New Roman" w:hAnsi="Times New Roman"/>
                <w:sz w:val="13"/>
                <w:szCs w:val="13"/>
                <w:color w:val="auto"/>
                <w:w w:val="98"/>
              </w:rPr>
              <w:t>incorporation or organization)</w:t>
            </w:r>
          </w:p>
        </w:tc>
        <w:tc>
          <w:tcPr>
            <w:tcW w:w="2840" w:type="dxa"/>
            <w:vAlign w:val="bottom"/>
          </w:tcPr>
          <w:p>
            <w:pPr>
              <w:spacing w:after="0"/>
              <w:rPr>
                <w:sz w:val="14"/>
                <w:szCs w:val="14"/>
                <w:color w:val="auto"/>
              </w:rPr>
            </w:pPr>
          </w:p>
        </w:tc>
        <w:tc>
          <w:tcPr>
            <w:tcW w:w="4600" w:type="dxa"/>
            <w:vAlign w:val="bottom"/>
          </w:tcPr>
          <w:p>
            <w:pPr>
              <w:jc w:val="center"/>
              <w:ind w:right="759"/>
              <w:spacing w:after="0"/>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225"/>
        </w:trPr>
        <w:tc>
          <w:tcPr>
            <w:tcW w:w="3800" w:type="dxa"/>
            <w:vAlign w:val="bottom"/>
          </w:tcPr>
          <w:p>
            <w:pPr>
              <w:spacing w:after="0"/>
              <w:rPr>
                <w:sz w:val="19"/>
                <w:szCs w:val="19"/>
                <w:color w:val="auto"/>
              </w:rPr>
            </w:pPr>
          </w:p>
        </w:tc>
        <w:tc>
          <w:tcPr>
            <w:tcW w:w="2840" w:type="dxa"/>
            <w:vAlign w:val="bottom"/>
          </w:tcPr>
          <w:p>
            <w:pPr>
              <w:jc w:val="center"/>
              <w:ind w:left="772"/>
              <w:spacing w:after="0"/>
              <w:rPr>
                <w:sz w:val="20"/>
                <w:szCs w:val="20"/>
                <w:color w:val="auto"/>
              </w:rPr>
            </w:pPr>
            <w:r>
              <w:rPr>
                <w:rFonts w:ascii="Times New Roman" w:cs="Times New Roman" w:eastAsia="Times New Roman" w:hAnsi="Times New Roman"/>
                <w:sz w:val="13"/>
                <w:szCs w:val="13"/>
                <w:b w:val="1"/>
                <w:bCs w:val="1"/>
                <w:color w:val="auto"/>
                <w:w w:val="98"/>
              </w:rPr>
              <w:t>3891 Ranchero Drive, Suite 150</w:t>
            </w:r>
          </w:p>
        </w:tc>
        <w:tc>
          <w:tcPr>
            <w:tcW w:w="4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2840" w:type="dxa"/>
            <w:vAlign w:val="bottom"/>
          </w:tcPr>
          <w:p>
            <w:pPr>
              <w:jc w:val="center"/>
              <w:ind w:left="792"/>
              <w:spacing w:after="0"/>
              <w:rPr>
                <w:sz w:val="20"/>
                <w:szCs w:val="20"/>
                <w:color w:val="auto"/>
              </w:rPr>
            </w:pPr>
            <w:r>
              <w:rPr>
                <w:rFonts w:ascii="Times New Roman" w:cs="Times New Roman" w:eastAsia="Times New Roman" w:hAnsi="Times New Roman"/>
                <w:sz w:val="13"/>
                <w:szCs w:val="13"/>
                <w:b w:val="1"/>
                <w:bCs w:val="1"/>
                <w:color w:val="auto"/>
                <w:w w:val="97"/>
              </w:rPr>
              <w:t>Ann Arbor, MI 48108</w:t>
            </w: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7440" w:type="dxa"/>
            <w:vAlign w:val="bottom"/>
            <w:gridSpan w:val="2"/>
          </w:tcPr>
          <w:p>
            <w:pPr>
              <w:jc w:val="center"/>
              <w:ind w:right="3699"/>
              <w:spacing w:after="0"/>
              <w:rPr>
                <w:sz w:val="20"/>
                <w:szCs w:val="20"/>
                <w:color w:val="auto"/>
              </w:rPr>
            </w:pPr>
            <w:r>
              <w:rPr>
                <w:rFonts w:ascii="Times New Roman" w:cs="Times New Roman" w:eastAsia="Times New Roman" w:hAnsi="Times New Roman"/>
                <w:sz w:val="13"/>
                <w:szCs w:val="13"/>
                <w:color w:val="auto"/>
                <w:w w:val="97"/>
              </w:rPr>
              <w:t>(Address of principal executive office) (Zip Code)</w:t>
            </w:r>
          </w:p>
        </w:tc>
        <w:tc>
          <w:tcPr>
            <w:tcW w:w="0" w:type="dxa"/>
            <w:vAlign w:val="bottom"/>
          </w:tcPr>
          <w:p>
            <w:pPr>
              <w:spacing w:after="0"/>
              <w:rPr>
                <w:sz w:val="1"/>
                <w:szCs w:val="1"/>
                <w:color w:val="auto"/>
              </w:rPr>
            </w:pPr>
          </w:p>
        </w:tc>
      </w:tr>
      <w:tr>
        <w:trPr>
          <w:trHeight w:val="165"/>
        </w:trPr>
        <w:tc>
          <w:tcPr>
            <w:tcW w:w="3800" w:type="dxa"/>
            <w:vAlign w:val="bottom"/>
          </w:tcPr>
          <w:p>
            <w:pPr>
              <w:spacing w:after="0"/>
              <w:rPr>
                <w:sz w:val="14"/>
                <w:szCs w:val="14"/>
                <w:color w:val="auto"/>
              </w:rPr>
            </w:pPr>
          </w:p>
        </w:tc>
        <w:tc>
          <w:tcPr>
            <w:tcW w:w="7440" w:type="dxa"/>
            <w:vAlign w:val="bottom"/>
            <w:gridSpan w:val="2"/>
          </w:tcPr>
          <w:p>
            <w:pPr>
              <w:jc w:val="center"/>
              <w:ind w:right="3699"/>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c>
          <w:tcPr>
            <w:tcW w:w="0" w:type="dxa"/>
            <w:vAlign w:val="bottom"/>
          </w:tcPr>
          <w:p>
            <w:pPr>
              <w:spacing w:after="0"/>
              <w:rPr>
                <w:sz w:val="1"/>
                <w:szCs w:val="1"/>
                <w:color w:val="auto"/>
              </w:rPr>
            </w:pPr>
          </w:p>
        </w:tc>
      </w:tr>
      <w:tr>
        <w:trPr>
          <w:trHeight w:val="170"/>
        </w:trPr>
        <w:tc>
          <w:tcPr>
            <w:tcW w:w="38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840" w:type="dxa"/>
            <w:vAlign w:val="bottom"/>
          </w:tcPr>
          <w:p>
            <w:pPr>
              <w:jc w:val="center"/>
              <w:ind w:left="772"/>
              <w:spacing w:after="0"/>
              <w:rPr>
                <w:sz w:val="20"/>
                <w:szCs w:val="20"/>
                <w:color w:val="auto"/>
              </w:rPr>
            </w:pPr>
            <w:r>
              <w:rPr>
                <w:rFonts w:ascii="Times New Roman" w:cs="Times New Roman" w:eastAsia="Times New Roman" w:hAnsi="Times New Roman"/>
                <w:sz w:val="13"/>
                <w:szCs w:val="13"/>
                <w:b w:val="1"/>
                <w:bCs w:val="1"/>
                <w:color w:val="auto"/>
                <w:w w:val="98"/>
              </w:rPr>
              <w:t>(734) 887-3903</w:t>
            </w: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00" w:type="dxa"/>
            <w:vAlign w:val="bottom"/>
            <w:vMerge w:val="continue"/>
          </w:tcPr>
          <w:p>
            <w:pPr>
              <w:spacing w:after="0"/>
              <w:rPr>
                <w:sz w:val="13"/>
                <w:szCs w:val="13"/>
                <w:color w:val="auto"/>
              </w:rPr>
            </w:pPr>
          </w:p>
        </w:tc>
        <w:tc>
          <w:tcPr>
            <w:tcW w:w="28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840" w:type="dxa"/>
            <w:vAlign w:val="bottom"/>
            <w:tcBorders>
              <w:bottom w:val="single" w:sz="8" w:color="auto"/>
            </w:tcBorders>
          </w:tcPr>
          <w:p>
            <w:pPr>
              <w:jc w:val="center"/>
              <w:ind w:left="712"/>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4600" w:type="dxa"/>
            <w:vAlign w:val="bottom"/>
            <w:tcBorders>
              <w:bottom w:val="single" w:sz="8" w:color="auto"/>
            </w:tcBorders>
          </w:tcPr>
          <w:p>
            <w:pPr>
              <w:jc w:val="center"/>
              <w:ind w:left="1079"/>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74"/>
        </w:trPr>
        <w:tc>
          <w:tcPr>
            <w:tcW w:w="3800" w:type="dxa"/>
            <w:vAlign w:val="bottom"/>
          </w:tcPr>
          <w:p>
            <w:pPr>
              <w:jc w:val="center"/>
              <w:ind w:right="299"/>
              <w:spacing w:after="0"/>
              <w:rPr>
                <w:sz w:val="20"/>
                <w:szCs w:val="20"/>
                <w:color w:val="auto"/>
              </w:rPr>
            </w:pPr>
            <w:r>
              <w:rPr>
                <w:rFonts w:ascii="Times New Roman" w:cs="Times New Roman" w:eastAsia="Times New Roman" w:hAnsi="Times New Roman"/>
                <w:sz w:val="11"/>
                <w:szCs w:val="11"/>
                <w:color w:val="auto"/>
              </w:rPr>
              <w:t>Common Stock, par value $0.001 per share</w:t>
            </w:r>
          </w:p>
        </w:tc>
        <w:tc>
          <w:tcPr>
            <w:tcW w:w="2840" w:type="dxa"/>
            <w:vAlign w:val="bottom"/>
          </w:tcPr>
          <w:p>
            <w:pPr>
              <w:jc w:val="center"/>
              <w:ind w:left="712"/>
              <w:spacing w:after="0"/>
              <w:rPr>
                <w:sz w:val="20"/>
                <w:szCs w:val="20"/>
                <w:color w:val="auto"/>
              </w:rPr>
            </w:pPr>
            <w:r>
              <w:rPr>
                <w:rFonts w:ascii="Times New Roman" w:cs="Times New Roman" w:eastAsia="Times New Roman" w:hAnsi="Times New Roman"/>
                <w:sz w:val="11"/>
                <w:szCs w:val="11"/>
                <w:color w:val="auto"/>
                <w:w w:val="98"/>
              </w:rPr>
              <w:t>ESPR</w:t>
            </w:r>
          </w:p>
        </w:tc>
        <w:tc>
          <w:tcPr>
            <w:tcW w:w="4600" w:type="dxa"/>
            <w:vAlign w:val="bottom"/>
          </w:tcPr>
          <w:p>
            <w:pPr>
              <w:jc w:val="center"/>
              <w:ind w:left="1079"/>
              <w:spacing w:after="0"/>
              <w:rPr>
                <w:sz w:val="20"/>
                <w:szCs w:val="20"/>
                <w:color w:val="auto"/>
              </w:rPr>
            </w:pPr>
            <w:r>
              <w:rPr>
                <w:rFonts w:ascii="Arial" w:cs="Arial" w:eastAsia="Arial" w:hAnsi="Arial"/>
                <w:sz w:val="11"/>
                <w:szCs w:val="11"/>
                <w:color w:val="auto"/>
              </w:rPr>
              <w:t xml:space="preserve">NASDAQ </w:t>
            </w:r>
            <w:r>
              <w:rPr>
                <w:rFonts w:ascii="Times New Roman" w:cs="Times New Roman" w:eastAsia="Times New Roman" w:hAnsi="Times New Roman"/>
                <w:sz w:val="11"/>
                <w:szCs w:val="11"/>
                <w:color w:val="auto"/>
              </w:rPr>
              <w:t>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60"/>
        <w:spacing w:after="0" w:line="24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100"/>
        <w:spacing w:after="0" w:line="246"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40"/>
        <w:spacing w:after="0" w:line="24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00" w:top="807" w:right="359" w:bottom="1440" w:gutter="0" w:footer="0" w:header="0"/>
        </w:sectPr>
      </w:pPr>
    </w:p>
    <w:p>
      <w:pPr>
        <w:spacing w:after="0" w:line="100"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color w:val="auto"/>
        </w:rPr>
        <w:t xml:space="preserve">Large accelerated filer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Accelerated filer </w:t>
      </w:r>
      <w:r>
        <w:rPr>
          <w:rFonts w:ascii="Wingdings" w:cs="Wingdings" w:eastAsia="Wingdings" w:hAnsi="Wingdings"/>
          <w:sz w:val="12"/>
          <w:szCs w:val="12"/>
          <w:b w:val="1"/>
          <w:bCs w:val="1"/>
          <w:color w:val="auto"/>
        </w:rPr>
        <w:t>x</w:t>
      </w:r>
    </w:p>
    <w:p>
      <w:pPr>
        <w:spacing w:after="0" w:line="74" w:lineRule="exact"/>
        <w:rPr>
          <w:sz w:val="24"/>
          <w:szCs w:val="24"/>
          <w:color w:val="auto"/>
        </w:rPr>
      </w:pPr>
    </w:p>
    <w:p>
      <w:pPr>
        <w:sectPr>
          <w:pgSz w:w="11900" w:h="16838" w:orient="portrait"/>
          <w:cols w:equalWidth="0" w:num="2">
            <w:col w:w="7060" w:space="720"/>
            <w:col w:w="3460"/>
          </w:cols>
          <w:pgMar w:left="300" w:top="807" w:right="35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2"/>
          <w:szCs w:val="12"/>
          <w:color w:val="auto"/>
        </w:rPr>
        <w:t xml:space="preserve">Non-accelerated filer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3"/>
          <w:szCs w:val="13"/>
          <w:b w:val="1"/>
          <w:bCs w:val="1"/>
          <w:color w:val="auto"/>
        </w:rPr>
        <w:t>o</w:t>
      </w:r>
    </w:p>
    <w:p>
      <w:pPr>
        <w:spacing w:after="0" w:line="59" w:lineRule="exact"/>
        <w:rPr>
          <w:sz w:val="24"/>
          <w:szCs w:val="24"/>
          <w:color w:val="auto"/>
        </w:rPr>
      </w:pPr>
    </w:p>
    <w:p>
      <w:pPr>
        <w:sectPr>
          <w:pgSz w:w="11900" w:h="16838" w:orient="portrait"/>
          <w:cols w:equalWidth="0" w:num="3">
            <w:col w:w="6500" w:space="720"/>
            <w:col w:w="1380" w:space="60"/>
            <w:col w:w="2580"/>
          </w:cols>
          <w:pgMar w:left="300" w:top="807" w:right="359" w:bottom="1440" w:gutter="0" w:footer="0" w:header="0"/>
          <w:type w:val="continuous"/>
        </w:sectPr>
      </w:pPr>
    </w:p>
    <w:p>
      <w:pPr>
        <w:ind w:left="7240"/>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ectPr>
          <w:pgSz w:w="11900" w:h="16838" w:orient="portrait"/>
          <w:cols w:equalWidth="0" w:num="1">
            <w:col w:w="11240"/>
          </w:cols>
          <w:pgMar w:left="300" w:top="807" w:right="359" w:bottom="1440" w:gutter="0" w:footer="0" w:header="0"/>
          <w:type w:val="continuous"/>
        </w:sectPr>
      </w:pPr>
    </w:p>
    <w:p>
      <w:pPr>
        <w:spacing w:after="0" w:line="85" w:lineRule="exact"/>
        <w:rPr>
          <w:sz w:val="24"/>
          <w:szCs w:val="24"/>
          <w:color w:val="auto"/>
        </w:rPr>
      </w:pPr>
    </w:p>
    <w:p>
      <w:pPr>
        <w:ind w:right="200"/>
        <w:spacing w:after="0" w:line="254"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4680"/>
        <w:spacing w:after="0" w:line="15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As of May 1, 2025, there were 198,199,462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428625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313690</wp:posOffset>
            </wp:positionV>
            <wp:extent cx="71145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4540" cy="69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333375</wp:posOffset>
            </wp:positionV>
            <wp:extent cx="71145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ectPr>
          <w:pgSz w:w="11900" w:h="16838" w:orient="portrait"/>
          <w:cols w:equalWidth="0" w:num="1">
            <w:col w:w="11240"/>
          </w:cols>
          <w:pgMar w:left="300" w:top="80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Esperion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350"/>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6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324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3"/>
        </w:trPr>
        <w:tc>
          <w:tcPr>
            <w:tcW w:w="101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1. Financial Statements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Condensed Balance Sheets at March 31, 2025 and December 31, 2024</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3</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5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Condensed Statements of Operations and Comprehensive (Loss) Income for the three month periods ended March 31, 2025 and 2024</w:t>
            </w:r>
          </w:p>
        </w:tc>
        <w:tc>
          <w:tcPr>
            <w:tcW w:w="2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w:t>
            </w:r>
          </w:p>
        </w:tc>
        <w:tc>
          <w:tcPr>
            <w:tcW w:w="20" w:type="dxa"/>
            <w:vAlign w:val="bottom"/>
          </w:tcPr>
          <w:p>
            <w:pPr>
              <w:spacing w:after="0"/>
              <w:rPr>
                <w:sz w:val="13"/>
                <w:szCs w:val="13"/>
                <w:color w:val="auto"/>
              </w:rPr>
            </w:pPr>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Condensed Statements of Stockholders’ Deficit for the three month periods ended March 31, 2025 and 2024</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5</w:t>
            </w:r>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Condensed Statements of Cash Flows for the three month periods ended March 31, 2025 and 2024</w:t>
            </w:r>
          </w:p>
        </w:tc>
        <w:tc>
          <w:tcPr>
            <w:tcW w:w="540" w:type="dxa"/>
            <w:vAlign w:val="bottom"/>
            <w:tcBorders>
              <w:top w:val="single" w:sz="8" w:color="0000FF"/>
            </w:tcBorders>
          </w:tcPr>
          <w:p>
            <w:pPr>
              <w:spacing w:after="0"/>
              <w:rPr>
                <w:sz w:val="13"/>
                <w:szCs w:val="13"/>
                <w:color w:val="auto"/>
              </w:rPr>
            </w:pPr>
          </w:p>
        </w:tc>
        <w:tc>
          <w:tcPr>
            <w:tcW w:w="35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Notes to Condensed Financial Statements</w:t>
            </w:r>
          </w:p>
        </w:tc>
        <w:tc>
          <w:tcPr>
            <w:tcW w:w="7260" w:type="dxa"/>
            <w:vAlign w:val="bottom"/>
            <w:gridSpan w:val="10"/>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7</w:t>
            </w:r>
          </w:p>
        </w:tc>
        <w:tc>
          <w:tcPr>
            <w:tcW w:w="20" w:type="dxa"/>
            <w:vAlign w:val="bottom"/>
          </w:tcPr>
          <w:p>
            <w:pPr>
              <w:spacing w:after="0"/>
              <w:rPr>
                <w:sz w:val="13"/>
                <w:szCs w:val="13"/>
                <w:color w:val="auto"/>
              </w:rPr>
            </w:pPr>
          </w:p>
        </w:tc>
      </w:tr>
      <w:tr>
        <w:trPr>
          <w:trHeight w:val="373"/>
        </w:trPr>
        <w:tc>
          <w:tcPr>
            <w:tcW w:w="55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Item 2. Management’s Discussion and Analysis of Financial Condition and Results of Operations</w:t>
            </w:r>
          </w:p>
        </w:tc>
        <w:tc>
          <w:tcPr>
            <w:tcW w:w="4620" w:type="dxa"/>
            <w:vAlign w:val="bottom"/>
            <w:gridSpan w:val="6"/>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28</w:t>
            </w:r>
          </w:p>
        </w:tc>
        <w:tc>
          <w:tcPr>
            <w:tcW w:w="20" w:type="dxa"/>
            <w:vAlign w:val="bottom"/>
          </w:tcPr>
          <w:p>
            <w:pPr>
              <w:spacing w:after="0"/>
              <w:rPr>
                <w:sz w:val="24"/>
                <w:szCs w:val="24"/>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55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Item 3. Quantitative and Qualitative Disclosures About Market Risk</w:t>
            </w:r>
          </w:p>
        </w:tc>
        <w:tc>
          <w:tcPr>
            <w:tcW w:w="4620" w:type="dxa"/>
            <w:vAlign w:val="bottom"/>
            <w:gridSpan w:val="6"/>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36</w:t>
            </w:r>
          </w:p>
        </w:tc>
        <w:tc>
          <w:tcPr>
            <w:tcW w:w="2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0000FF"/>
              </w:rPr>
              <w:t>Item 4.</w:t>
            </w:r>
          </w:p>
        </w:tc>
        <w:tc>
          <w:tcPr>
            <w:tcW w:w="3440" w:type="dxa"/>
            <w:vAlign w:val="bottom"/>
            <w:gridSpan w:val="9"/>
          </w:tcPr>
          <w:p>
            <w:pPr>
              <w:ind w:left="20"/>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280" w:type="dxa"/>
            <w:vAlign w:val="bottom"/>
            <w:gridSpan w:val="9"/>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37</w:t>
            </w:r>
          </w:p>
        </w:tc>
        <w:tc>
          <w:tcPr>
            <w:tcW w:w="20" w:type="dxa"/>
            <w:vAlign w:val="bottom"/>
          </w:tcPr>
          <w:p>
            <w:pPr>
              <w:spacing w:after="0"/>
              <w:rPr>
                <w:sz w:val="24"/>
                <w:szCs w:val="24"/>
                <w:color w:val="auto"/>
              </w:rPr>
            </w:pPr>
          </w:p>
        </w:tc>
      </w:tr>
      <w:tr>
        <w:trPr>
          <w:trHeight w:val="373"/>
        </w:trPr>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40" w:type="dxa"/>
            <w:vAlign w:val="bottom"/>
            <w:gridSpan w:val="7"/>
          </w:tcPr>
          <w:p>
            <w:pPr>
              <w:jc w:val="center"/>
              <w:ind w:right="3360"/>
              <w:spacing w:after="0"/>
              <w:rPr>
                <w:sz w:val="20"/>
                <w:szCs w:val="20"/>
                <w:color w:val="auto"/>
              </w:rPr>
            </w:pPr>
            <w:r>
              <w:rPr>
                <w:rFonts w:ascii="Times New Roman" w:cs="Times New Roman" w:eastAsia="Times New Roman" w:hAnsi="Times New Roman"/>
                <w:sz w:val="14"/>
                <w:szCs w:val="14"/>
                <w:b w:val="1"/>
                <w:bCs w:val="1"/>
                <w:color w:val="0000FF"/>
                <w:w w:val="98"/>
              </w:rPr>
              <w:t>PART II — OTHER INFORMATION</w:t>
            </w:r>
          </w:p>
        </w:tc>
        <w:tc>
          <w:tcPr>
            <w:tcW w:w="10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0000FF"/>
              </w:rPr>
              <w:t>Item 1.</w:t>
            </w: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0000FF"/>
                <w:w w:val="96"/>
              </w:rPr>
              <w:t>Legal Proceedings</w:t>
            </w:r>
          </w:p>
        </w:tc>
        <w:tc>
          <w:tcPr>
            <w:tcW w:w="3020" w:type="dxa"/>
            <w:vAlign w:val="bottom"/>
            <w:gridSpan w:val="6"/>
          </w:tcPr>
          <w:p>
            <w:pPr>
              <w:spacing w:after="0"/>
              <w:rPr>
                <w:sz w:val="24"/>
                <w:szCs w:val="24"/>
                <w:color w:val="auto"/>
              </w:rPr>
            </w:pPr>
          </w:p>
        </w:tc>
        <w:tc>
          <w:tcPr>
            <w:tcW w:w="2280" w:type="dxa"/>
            <w:vAlign w:val="bottom"/>
            <w:tcBorders>
              <w:top w:val="single" w:sz="8" w:color="0000FF"/>
            </w:tcBorders>
            <w:gridSpan w:val="4"/>
          </w:tcPr>
          <w:p>
            <w:pPr>
              <w:spacing w:after="0"/>
              <w:rPr>
                <w:sz w:val="24"/>
                <w:szCs w:val="24"/>
                <w:color w:val="auto"/>
              </w:rPr>
            </w:pPr>
          </w:p>
        </w:tc>
        <w:tc>
          <w:tcPr>
            <w:tcW w:w="3360" w:type="dxa"/>
            <w:vAlign w:val="bottom"/>
            <w:gridSpan w:val="3"/>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24"/>
                <w:szCs w:val="24"/>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60" w:type="dxa"/>
            <w:vAlign w:val="bottom"/>
            <w:tcBorders>
              <w:left w:val="single" w:sz="8" w:color="0000FF"/>
            </w:tcBorders>
            <w:gridSpan w:val="13"/>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12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220" w:type="dxa"/>
            <w:vAlign w:val="bottom"/>
          </w:tcPr>
          <w:p>
            <w:pPr>
              <w:spacing w:after="0"/>
              <w:rPr>
                <w:sz w:val="24"/>
                <w:szCs w:val="24"/>
                <w:color w:val="auto"/>
              </w:rPr>
            </w:pPr>
          </w:p>
        </w:tc>
        <w:tc>
          <w:tcPr>
            <w:tcW w:w="8660" w:type="dxa"/>
            <w:vAlign w:val="bottom"/>
            <w:gridSpan w:val="13"/>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60" w:type="dxa"/>
            <w:vAlign w:val="bottom"/>
            <w:gridSpan w:val="13"/>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0000FF"/>
              </w:rPr>
              <w:t>Item 5.</w:t>
            </w: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0000FF"/>
                <w:w w:val="97"/>
              </w:rPr>
              <w:t>Other Information</w:t>
            </w:r>
          </w:p>
        </w:tc>
        <w:tc>
          <w:tcPr>
            <w:tcW w:w="8660" w:type="dxa"/>
            <w:vAlign w:val="bottom"/>
            <w:gridSpan w:val="13"/>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39</w:t>
            </w:r>
          </w:p>
        </w:tc>
        <w:tc>
          <w:tcPr>
            <w:tcW w:w="2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660" w:type="dxa"/>
            <w:vAlign w:val="bottom"/>
            <w:gridSpan w:val="13"/>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0000FF"/>
              </w:rPr>
              <w:t>Item 6.</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w w:val="98"/>
              </w:rPr>
              <w:t>Exhibits</w:t>
            </w:r>
          </w:p>
        </w:tc>
        <w:tc>
          <w:tcPr>
            <w:tcW w:w="560" w:type="dxa"/>
            <w:vAlign w:val="bottom"/>
            <w:gridSpan w:val="2"/>
          </w:tcPr>
          <w:p>
            <w:pPr>
              <w:spacing w:after="0"/>
              <w:rPr>
                <w:sz w:val="24"/>
                <w:szCs w:val="24"/>
                <w:color w:val="auto"/>
              </w:rPr>
            </w:pPr>
          </w:p>
        </w:tc>
        <w:tc>
          <w:tcPr>
            <w:tcW w:w="8660" w:type="dxa"/>
            <w:vAlign w:val="bottom"/>
            <w:gridSpan w:val="13"/>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40</w:t>
            </w:r>
          </w:p>
        </w:tc>
        <w:tc>
          <w:tcPr>
            <w:tcW w:w="20" w:type="dxa"/>
            <w:vAlign w:val="bottom"/>
          </w:tcPr>
          <w:p>
            <w:pPr>
              <w:spacing w:after="0"/>
              <w:rPr>
                <w:sz w:val="24"/>
                <w:szCs w:val="24"/>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20" w:type="dxa"/>
            <w:vAlign w:val="bottom"/>
            <w:gridSpan w:val="15"/>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9220" w:type="dxa"/>
            <w:vAlign w:val="bottom"/>
            <w:gridSpan w:val="15"/>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42</w:t>
            </w:r>
          </w:p>
        </w:tc>
        <w:tc>
          <w:tcPr>
            <w:tcW w:w="2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From time to time, we may use our website, our X (formerly Twitter) account (@EsperionInc) or our LinkedIn profile at www.linkedin.com/company/esperion-therapeutics to distribute material information. Our financial and other material information is routinely posted to and accessible on the Investors &amp; Media section of our website, available at www.esperion.com. Investors are encouraged to review the Investors &amp; Media section of our website because we may post material information on that site that is not otherwise disseminated by us. Information that is contained in and can be accessed through our website or our LinkedIn page is not incorporated into, and does not form a part of, this Quarterly Report on Form 10-Q.</w:t>
      </w:r>
    </w:p>
    <w:p>
      <w:pPr>
        <w:spacing w:after="0" w:line="15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We use various trademarks and trade names in our business, including without limitation our corporate name and logo. This Quarterly Report on Form 10-Q may also contain trademarks, service marks and trade names of third parties, which are the property of their respective owners. Our use or display of third parties’ trademarks, service marks, trade names or products in this Quarterly Report on Form 10-Q is not intended to, and does not imply a relationship with, or endorsement or sponsorship by us. Solely for convenience, the trademarks and trade names in this Quarterly Report on Form 10-Q may be referred to without the ® and ™ symbols, but the omission of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Esperion Therapeutics, Inc.</w:t>
      </w:r>
    </w:p>
    <w:p>
      <w:pPr>
        <w:spacing w:after="0" w:line="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40" w:type="dxa"/>
            <w:vAlign w:val="bottom"/>
          </w:tcPr>
          <w:p>
            <w:pPr>
              <w:spacing w:after="0"/>
              <w:rPr>
                <w:sz w:val="11"/>
                <w:szCs w:val="11"/>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8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8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144,761</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80,142</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 net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94,491</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clinical development costs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inventory costs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13,863</w:t>
            </w:r>
          </w:p>
        </w:tc>
      </w:tr>
      <w:tr>
        <w:trPr>
          <w:trHeight w:val="180"/>
        </w:trPr>
        <w:tc>
          <w:tcPr>
            <w:tcW w:w="8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prepaid and current assets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4,155</w:t>
            </w:r>
          </w:p>
        </w:tc>
      </w:tr>
      <w:tr>
        <w:trPr>
          <w:trHeight w:val="17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337,998</w:t>
            </w:r>
          </w:p>
        </w:tc>
      </w:tr>
      <w:tr>
        <w:trPr>
          <w:trHeight w:val="159"/>
        </w:trPr>
        <w:tc>
          <w:tcPr>
            <w:tcW w:w="8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Right of use operating lease assets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5,513</w:t>
            </w: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71"/>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324,029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343,821</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0"/>
        </w:trPr>
        <w:tc>
          <w:tcPr>
            <w:tcW w:w="8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71,994</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51,650</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Convertible notes, net of issuance costs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54,575</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clinical development costs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5,035</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variable consideration</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56,535</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19,593</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Royalty sale liability</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47,586</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revenue from collaborations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8,518</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w:t>
            </w:r>
          </w:p>
        </w:tc>
      </w:tr>
      <w:tr>
        <w:trPr>
          <w:trHeight w:val="171"/>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270,966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246,233</w:t>
            </w:r>
          </w:p>
        </w:tc>
      </w:tr>
      <w:tr>
        <w:trPr>
          <w:trHeight w:val="139"/>
        </w:trPr>
        <w:tc>
          <w:tcPr>
            <w:tcW w:w="8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Convertible notes, net of issuance costs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96,745</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Royalty sale liability</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246,024</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140,971</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w:t>
            </w:r>
          </w:p>
        </w:tc>
      </w:tr>
      <w:tr>
        <w:trPr>
          <w:trHeight w:val="171"/>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750,240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732,543</w:t>
            </w:r>
          </w:p>
        </w:tc>
      </w:tr>
      <w:tr>
        <w:trPr>
          <w:trHeight w:val="16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5)</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38"/>
        </w:trPr>
        <w:tc>
          <w:tcPr>
            <w:tcW w:w="83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Preferred stock, $0.001 par value; 5,000,000 shares authorized and no shares issued or outstanding as of March 31, 2025 and December 31,</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91"/>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830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Common stock, $0.001 par value; 480,000,000 shares authorized as of March 31, 2025 and 480,000,000 shares authorized as of December 31,</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2024; 198,654,569 shares issued at March 31, 2025 and 197,846,661 shares issued at December 31, 2024</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81"/>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1,270,074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1,267,109</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 at cost; 1,994,198 shares at March 31, 2025 and December 31, 2024</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(54,998)</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(1,641,484)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(1,601,029)</w:t>
            </w:r>
          </w:p>
        </w:tc>
      </w:tr>
      <w:tr>
        <w:trPr>
          <w:trHeight w:val="171"/>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(426,211)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(388,722)</w:t>
            </w:r>
          </w:p>
        </w:tc>
      </w:tr>
      <w:tr>
        <w:trPr>
          <w:trHeight w:val="196"/>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324,029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343,821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the condensed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Esperion Therapeutics,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Statements of Operations and Comprehensive (Loss) Income</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4"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1560" w:type="dxa"/>
        <w:tblCellMar>
          <w:top w:w="0" w:type="dxa"/>
          <w:left w:w="0" w:type="dxa"/>
          <w:bottom w:w="0" w:type="dxa"/>
          <w:right w:w="0" w:type="dxa"/>
        </w:tblCellMar>
      </w:tblPr>
      <w:tr>
        <w:trPr>
          <w:trHeight w:val="153"/>
        </w:trPr>
        <w:tc>
          <w:tcPr>
            <w:tcW w:w="52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5"/>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 sales, net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34,913</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24,756</w:t>
            </w:r>
          </w:p>
        </w:tc>
      </w:tr>
      <w:tr>
        <w:trPr>
          <w:trHeight w:val="180"/>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Collaboration revenue</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112,979</w:t>
            </w:r>
          </w:p>
        </w:tc>
      </w:tr>
      <w:tr>
        <w:trPr>
          <w:trHeight w:val="171"/>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64,995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137,735</w:t>
            </w:r>
          </w:p>
        </w:tc>
      </w:tr>
      <w:tr>
        <w:trPr>
          <w:trHeight w:val="192"/>
        </w:trPr>
        <w:tc>
          <w:tcPr>
            <w:tcW w:w="5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0"/>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goods sold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10,075</w:t>
            </w:r>
          </w:p>
        </w:tc>
      </w:tr>
      <w:tr>
        <w:trPr>
          <w:trHeight w:val="180"/>
        </w:trPr>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w:t>
            </w:r>
          </w:p>
        </w:tc>
      </w:tr>
      <w:tr>
        <w:trPr>
          <w:trHeight w:val="180"/>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41,988</w:t>
            </w:r>
          </w:p>
        </w:tc>
      </w:tr>
      <w:tr>
        <w:trPr>
          <w:trHeight w:val="171"/>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87,091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65,466</w:t>
            </w:r>
          </w:p>
        </w:tc>
      </w:tr>
      <w:tr>
        <w:trPr>
          <w:trHeight w:val="192"/>
        </w:trPr>
        <w:tc>
          <w:tcPr>
            <w:tcW w:w="5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0"/>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72,269</w:t>
            </w:r>
          </w:p>
        </w:tc>
      </w:tr>
      <w:tr>
        <w:trPr>
          <w:trHeight w:val="212"/>
        </w:trPr>
        <w:tc>
          <w:tcPr>
            <w:tcW w:w="5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0"/>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(14,024)</w:t>
            </w:r>
          </w:p>
        </w:tc>
      </w:tr>
      <w:tr>
        <w:trPr>
          <w:trHeight w:val="18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r>
      <w:tr>
        <w:trPr>
          <w:trHeight w:val="171"/>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(40,455)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61,022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7"/>
        </w:trPr>
        <w:tc>
          <w:tcPr>
            <w:tcW w:w="5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2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Net (loss) income per common share - basic</w:t>
            </w: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8"/>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income per common share - diluted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5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8"/>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shares outstanding - basic</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196,127,948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169,258,564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2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Weighted-average shares outstanding - diluted</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196,127,948</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189,641,251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3"/>
        </w:trPr>
        <w:tc>
          <w:tcPr>
            <w:tcW w:w="5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r>
      <w:tr>
        <w:trPr>
          <w:trHeight w:val="171"/>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(loss) income</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(40,455)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61,022</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Esperion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1"/>
                <w:szCs w:val="11"/>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860" w:type="dxa"/>
            <w:vAlign w:val="bottom"/>
          </w:tcPr>
          <w:p>
            <w:pPr>
              <w:spacing w:after="0"/>
              <w:rPr>
                <w:sz w:val="8"/>
                <w:szCs w:val="8"/>
                <w:color w:val="auto"/>
              </w:rPr>
            </w:pPr>
          </w:p>
        </w:tc>
        <w:tc>
          <w:tcPr>
            <w:tcW w:w="1520" w:type="dxa"/>
            <w:vAlign w:val="bottom"/>
            <w:tcBorders>
              <w:bottom w:val="single" w:sz="8" w:color="auto"/>
            </w:tcBorders>
            <w:gridSpan w:val="3"/>
            <w:vMerge w:val="continue"/>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3"/>
          </w:tcPr>
          <w:p>
            <w:pPr>
              <w:jc w:val="center"/>
              <w:ind w:right="100"/>
              <w:spacing w:after="0" w:line="97"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Comprehensive Income</w:t>
            </w: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center"/>
              <w:ind w:right="33"/>
              <w:spacing w:after="0" w:line="97" w:lineRule="exact"/>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54"/>
        </w:trPr>
        <w:tc>
          <w:tcPr>
            <w:tcW w:w="2860" w:type="dxa"/>
            <w:vAlign w:val="bottom"/>
          </w:tcPr>
          <w:p>
            <w:pPr>
              <w:spacing w:after="0"/>
              <w:rPr>
                <w:sz w:val="13"/>
                <w:szCs w:val="13"/>
                <w:color w:val="auto"/>
              </w:rPr>
            </w:pPr>
          </w:p>
        </w:tc>
        <w:tc>
          <w:tcPr>
            <w:tcW w:w="130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8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0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3"/>
                <w:szCs w:val="13"/>
                <w:color w:val="auto"/>
              </w:rPr>
            </w:pPr>
          </w:p>
        </w:tc>
        <w:tc>
          <w:tcPr>
            <w:tcW w:w="1080" w:type="dxa"/>
            <w:vAlign w:val="bottom"/>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76"/>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118,210,315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1,149,170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(1,549,284)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(54,998)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(454,994)</w:t>
            </w:r>
          </w:p>
        </w:tc>
        <w:tc>
          <w:tcPr>
            <w:tcW w:w="0" w:type="dxa"/>
            <w:vAlign w:val="bottom"/>
          </w:tcPr>
          <w:p>
            <w:pPr>
              <w:spacing w:after="0"/>
              <w:rPr>
                <w:sz w:val="1"/>
                <w:szCs w:val="1"/>
                <w:color w:val="auto"/>
              </w:rPr>
            </w:pPr>
          </w:p>
        </w:tc>
      </w:tr>
      <w:tr>
        <w:trPr>
          <w:trHeight w:val="138"/>
        </w:trPr>
        <w:tc>
          <w:tcPr>
            <w:tcW w:w="28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Vesting of restricted stock units and</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performance-based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0" w:type="dxa"/>
            <w:vAlign w:val="bottom"/>
          </w:tcPr>
          <w:p>
            <w:pPr>
              <w:spacing w:after="0"/>
              <w:rPr>
                <w:sz w:val="1"/>
                <w:szCs w:val="1"/>
                <w:color w:val="auto"/>
              </w:rPr>
            </w:pPr>
          </w:p>
        </w:tc>
      </w:tr>
      <w:tr>
        <w:trPr>
          <w:trHeight w:val="138"/>
        </w:trPr>
        <w:tc>
          <w:tcPr>
            <w:tcW w:w="28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Issuance of common stock from offering, net of</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65,205,000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90,672</w:t>
            </w: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 of warrants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5,766</w:t>
            </w:r>
          </w:p>
        </w:tc>
        <w:tc>
          <w:tcPr>
            <w:tcW w:w="0" w:type="dxa"/>
            <w:vAlign w:val="bottom"/>
          </w:tcPr>
          <w:p>
            <w:pPr>
              <w:spacing w:after="0"/>
              <w:rPr>
                <w:sz w:val="1"/>
                <w:szCs w:val="1"/>
                <w:color w:val="auto"/>
              </w:rPr>
            </w:pPr>
          </w:p>
        </w:tc>
      </w:tr>
      <w:tr>
        <w:trPr>
          <w:trHeight w:val="180"/>
        </w:trPr>
        <w:tc>
          <w:tcPr>
            <w:tcW w:w="2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61,022</w:t>
            </w:r>
          </w:p>
        </w:tc>
        <w:tc>
          <w:tcPr>
            <w:tcW w:w="0" w:type="dxa"/>
            <w:vAlign w:val="bottom"/>
          </w:tcPr>
          <w:p>
            <w:pPr>
              <w:spacing w:after="0"/>
              <w:rPr>
                <w:sz w:val="1"/>
                <w:szCs w:val="1"/>
                <w:color w:val="auto"/>
              </w:rPr>
            </w:pPr>
          </w:p>
        </w:tc>
      </w:tr>
      <w:tr>
        <w:trPr>
          <w:trHeight w:val="196"/>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187,855,098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1,248,774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(1,488,262)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(54,998)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(294,298)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2860" w:type="dxa"/>
            <w:vAlign w:val="bottom"/>
          </w:tcPr>
          <w:p>
            <w:pPr>
              <w:spacing w:after="0"/>
              <w:rPr>
                <w:sz w:val="24"/>
                <w:szCs w:val="24"/>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860" w:type="dxa"/>
            <w:vAlign w:val="bottom"/>
          </w:tcPr>
          <w:p>
            <w:pPr>
              <w:spacing w:after="0"/>
              <w:rPr>
                <w:sz w:val="8"/>
                <w:szCs w:val="8"/>
                <w:color w:val="auto"/>
              </w:rPr>
            </w:pPr>
          </w:p>
        </w:tc>
        <w:tc>
          <w:tcPr>
            <w:tcW w:w="1520" w:type="dxa"/>
            <w:vAlign w:val="bottom"/>
            <w:tcBorders>
              <w:bottom w:val="single" w:sz="8" w:color="auto"/>
            </w:tcBorders>
            <w:gridSpan w:val="3"/>
            <w:vMerge w:val="continue"/>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3"/>
          </w:tcPr>
          <w:p>
            <w:pPr>
              <w:jc w:val="center"/>
              <w:ind w:right="10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Paid-In</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 Income</w:t>
            </w: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center"/>
              <w:ind w:right="33"/>
              <w:spacing w:after="0" w:line="95" w:lineRule="exact"/>
              <w:rPr>
                <w:sz w:val="20"/>
                <w:szCs w:val="20"/>
                <w:color w:val="auto"/>
              </w:rPr>
            </w:pPr>
            <w:r>
              <w:rPr>
                <w:rFonts w:ascii="Times New Roman" w:cs="Times New Roman" w:eastAsia="Times New Roman" w:hAnsi="Times New Roman"/>
                <w:sz w:val="10"/>
                <w:szCs w:val="10"/>
                <w:b w:val="1"/>
                <w:bCs w:val="1"/>
                <w:color w:val="auto"/>
              </w:rPr>
              <w:t>Total Stockholders'</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30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8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0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3"/>
                <w:szCs w:val="13"/>
                <w:color w:val="auto"/>
              </w:rPr>
            </w:pPr>
          </w:p>
        </w:tc>
        <w:tc>
          <w:tcPr>
            <w:tcW w:w="1080" w:type="dxa"/>
            <w:vAlign w:val="bottom"/>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75"/>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195,852,463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1,267,109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(1,601,029)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(54,998)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(388,722)</w:t>
            </w:r>
          </w:p>
        </w:tc>
        <w:tc>
          <w:tcPr>
            <w:tcW w:w="0" w:type="dxa"/>
            <w:vAlign w:val="bottom"/>
          </w:tcPr>
          <w:p>
            <w:pPr>
              <w:spacing w:after="0"/>
              <w:rPr>
                <w:sz w:val="1"/>
                <w:szCs w:val="1"/>
                <w:color w:val="auto"/>
              </w:rPr>
            </w:pPr>
          </w:p>
        </w:tc>
      </w:tr>
      <w:tr>
        <w:trPr>
          <w:trHeight w:val="180"/>
        </w:trPr>
        <w:tc>
          <w:tcPr>
            <w:tcW w:w="2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Vesting of ESPP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80"/>
        </w:trPr>
        <w:tc>
          <w:tcPr>
            <w:tcW w:w="2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(40,455)</w:t>
            </w:r>
          </w:p>
        </w:tc>
        <w:tc>
          <w:tcPr>
            <w:tcW w:w="0" w:type="dxa"/>
            <w:vAlign w:val="bottom"/>
          </w:tcPr>
          <w:p>
            <w:pPr>
              <w:spacing w:after="0"/>
              <w:rPr>
                <w:sz w:val="1"/>
                <w:szCs w:val="1"/>
                <w:color w:val="auto"/>
              </w:rPr>
            </w:pPr>
          </w:p>
        </w:tc>
      </w:tr>
      <w:tr>
        <w:trPr>
          <w:trHeight w:val="17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196,660,371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1,270,074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(1,641,484)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(54,998)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(426,211)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the condensed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77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600"/>
        </w:trPr>
        <w:tc>
          <w:tcPr>
            <w:tcW w:w="5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780" w:type="dxa"/>
            <w:vAlign w:val="bottom"/>
          </w:tcPr>
          <w:p>
            <w:pPr>
              <w:jc w:val="center"/>
              <w:ind w:left="2429"/>
              <w:spacing w:after="0"/>
              <w:rPr>
                <w:sz w:val="20"/>
                <w:szCs w:val="20"/>
                <w:color w:val="auto"/>
              </w:rPr>
            </w:pPr>
            <w:r>
              <w:rPr>
                <w:rFonts w:ascii="Times New Roman" w:cs="Times New Roman" w:eastAsia="Times New Roman" w:hAnsi="Times New Roman"/>
                <w:sz w:val="14"/>
                <w:szCs w:val="14"/>
                <w:b w:val="1"/>
                <w:bCs w:val="1"/>
                <w:color w:val="auto"/>
              </w:rPr>
              <w:t>Esperion Therapeutics, Inc.</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80" w:type="dxa"/>
            <w:vAlign w:val="bottom"/>
          </w:tcPr>
          <w:p>
            <w:pPr>
              <w:jc w:val="center"/>
              <w:ind w:left="2449"/>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80" w:type="dxa"/>
            <w:vAlign w:val="bottom"/>
          </w:tcPr>
          <w:p>
            <w:pPr>
              <w:jc w:val="center"/>
              <w:ind w:left="24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86"/>
        </w:trPr>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780" w:type="dxa"/>
            <w:vAlign w:val="bottom"/>
          </w:tcPr>
          <w:p>
            <w:pPr>
              <w:jc w:val="center"/>
              <w:ind w:left="2449"/>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2"/>
        </w:trPr>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r>
      <w:tr>
        <w:trPr>
          <w:trHeight w:val="171"/>
        </w:trPr>
        <w:tc>
          <w:tcPr>
            <w:tcW w:w="54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67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r>
      <w:tr>
        <w:trPr>
          <w:trHeight w:val="160"/>
        </w:trPr>
        <w:tc>
          <w:tcPr>
            <w:tcW w:w="540" w:type="dxa"/>
            <w:vAlign w:val="bottom"/>
          </w:tcPr>
          <w:p>
            <w:pPr>
              <w:spacing w:after="0"/>
              <w:rPr>
                <w:sz w:val="13"/>
                <w:szCs w:val="13"/>
                <w:color w:val="auto"/>
              </w:rPr>
            </w:pPr>
          </w:p>
        </w:tc>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80"/>
        </w:trPr>
        <w:tc>
          <w:tcPr>
            <w:tcW w:w="540" w:type="dxa"/>
            <w:vAlign w:val="bottom"/>
          </w:tcPr>
          <w:p>
            <w:pPr>
              <w:spacing w:after="0"/>
              <w:rPr>
                <w:sz w:val="15"/>
                <w:szCs w:val="15"/>
                <w:color w:val="auto"/>
              </w:rPr>
            </w:pPr>
          </w:p>
        </w:tc>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(40,455)</w:t>
            </w:r>
          </w:p>
        </w:tc>
        <w:tc>
          <w:tcPr>
            <w:tcW w:w="80" w:type="dxa"/>
            <w:vAlign w:val="bottom"/>
          </w:tcPr>
          <w:p>
            <w:pPr>
              <w:spacing w:after="0"/>
              <w:rPr>
                <w:sz w:val="15"/>
                <w:szCs w:val="15"/>
                <w:color w:val="auto"/>
              </w:rPr>
            </w:pP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61,022</w:t>
            </w:r>
          </w:p>
        </w:tc>
      </w:tr>
      <w:tr>
        <w:trPr>
          <w:trHeight w:val="180"/>
        </w:trPr>
        <w:tc>
          <w:tcPr>
            <w:tcW w:w="540" w:type="dxa"/>
            <w:vAlign w:val="bottom"/>
          </w:tcPr>
          <w:p>
            <w:pPr>
              <w:spacing w:after="0"/>
              <w:rPr>
                <w:sz w:val="15"/>
                <w:szCs w:val="15"/>
                <w:color w:val="auto"/>
              </w:rPr>
            </w:pPr>
          </w:p>
        </w:tc>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Non-cash royalty revenue</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40" w:type="dxa"/>
            <w:vAlign w:val="bottom"/>
          </w:tcPr>
          <w:p>
            <w:pPr>
              <w:spacing w:after="0"/>
              <w:rPr>
                <w:sz w:val="15"/>
                <w:szCs w:val="15"/>
                <w:color w:val="auto"/>
              </w:rPr>
            </w:pPr>
          </w:p>
        </w:tc>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expense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40" w:type="dxa"/>
            <w:vAlign w:val="bottom"/>
          </w:tcPr>
          <w:p>
            <w:pPr>
              <w:spacing w:after="0"/>
              <w:rPr>
                <w:sz w:val="15"/>
                <w:szCs w:val="15"/>
                <w:color w:val="auto"/>
              </w:rPr>
            </w:pP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80"/>
        </w:trPr>
        <w:tc>
          <w:tcPr>
            <w:tcW w:w="540" w:type="dxa"/>
            <w:vAlign w:val="bottom"/>
          </w:tcPr>
          <w:p>
            <w:pPr>
              <w:spacing w:after="0"/>
              <w:rPr>
                <w:sz w:val="15"/>
                <w:szCs w:val="15"/>
                <w:color w:val="auto"/>
              </w:rPr>
            </w:pPr>
          </w:p>
        </w:tc>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interest expense related to the revenue interest liability</w:t>
            </w:r>
          </w:p>
        </w:tc>
        <w:tc>
          <w:tcPr>
            <w:tcW w:w="9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10,937</w:t>
            </w:r>
          </w:p>
        </w:tc>
      </w:tr>
      <w:tr>
        <w:trPr>
          <w:trHeight w:val="180"/>
        </w:trPr>
        <w:tc>
          <w:tcPr>
            <w:tcW w:w="540" w:type="dxa"/>
            <w:vAlign w:val="bottom"/>
          </w:tcPr>
          <w:p>
            <w:pPr>
              <w:spacing w:after="0"/>
              <w:rPr>
                <w:sz w:val="15"/>
                <w:szCs w:val="15"/>
                <w:color w:val="auto"/>
              </w:rPr>
            </w:pP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Non-cash interest expense related to the royalty sale liability</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13,090</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40" w:type="dxa"/>
            <w:vAlign w:val="bottom"/>
          </w:tcPr>
          <w:p>
            <w:pPr>
              <w:spacing w:after="0"/>
              <w:rPr>
                <w:sz w:val="15"/>
                <w:szCs w:val="15"/>
                <w:color w:val="auto"/>
              </w:rPr>
            </w:pPr>
          </w:p>
        </w:tc>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w:t>
            </w:r>
          </w:p>
        </w:tc>
      </w:tr>
      <w:tr>
        <w:trPr>
          <w:trHeight w:val="180"/>
        </w:trPr>
        <w:tc>
          <w:tcPr>
            <w:tcW w:w="540" w:type="dxa"/>
            <w:vAlign w:val="bottom"/>
          </w:tcPr>
          <w:p>
            <w:pPr>
              <w:spacing w:after="0"/>
              <w:rPr>
                <w:sz w:val="15"/>
                <w:szCs w:val="15"/>
                <w:color w:val="auto"/>
              </w:rPr>
            </w:pP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w:t>
            </w:r>
          </w:p>
        </w:tc>
      </w:tr>
      <w:tr>
        <w:trPr>
          <w:trHeight w:val="180"/>
        </w:trPr>
        <w:tc>
          <w:tcPr>
            <w:tcW w:w="540" w:type="dxa"/>
            <w:vAlign w:val="bottom"/>
          </w:tcPr>
          <w:p>
            <w:pPr>
              <w:spacing w:after="0"/>
              <w:rPr>
                <w:sz w:val="15"/>
                <w:szCs w:val="15"/>
                <w:color w:val="auto"/>
              </w:rPr>
            </w:pPr>
          </w:p>
        </w:tc>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Prepaids and other assets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(6,590)</w:t>
            </w:r>
          </w:p>
        </w:tc>
      </w:tr>
      <w:tr>
        <w:trPr>
          <w:trHeight w:val="180"/>
        </w:trPr>
        <w:tc>
          <w:tcPr>
            <w:tcW w:w="540" w:type="dxa"/>
            <w:vAlign w:val="bottom"/>
          </w:tcPr>
          <w:p>
            <w:pPr>
              <w:spacing w:after="0"/>
              <w:rPr>
                <w:sz w:val="15"/>
                <w:szCs w:val="15"/>
                <w:color w:val="auto"/>
              </w:rPr>
            </w:pPr>
          </w:p>
        </w:tc>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w:t>
            </w:r>
          </w:p>
        </w:tc>
      </w:tr>
      <w:tr>
        <w:trPr>
          <w:trHeight w:val="180"/>
        </w:trPr>
        <w:tc>
          <w:tcPr>
            <w:tcW w:w="540" w:type="dxa"/>
            <w:vAlign w:val="bottom"/>
          </w:tcPr>
          <w:p>
            <w:pPr>
              <w:spacing w:after="0"/>
              <w:rPr>
                <w:sz w:val="15"/>
                <w:szCs w:val="15"/>
                <w:color w:val="auto"/>
              </w:rPr>
            </w:pPr>
          </w:p>
        </w:tc>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(7,472)</w:t>
            </w:r>
          </w:p>
        </w:tc>
      </w:tr>
      <w:tr>
        <w:trPr>
          <w:trHeight w:val="180"/>
        </w:trPr>
        <w:tc>
          <w:tcPr>
            <w:tcW w:w="540" w:type="dxa"/>
            <w:vAlign w:val="bottom"/>
          </w:tcPr>
          <w:p>
            <w:pPr>
              <w:spacing w:after="0"/>
              <w:rPr>
                <w:sz w:val="15"/>
                <w:szCs w:val="15"/>
                <w:color w:val="auto"/>
              </w:rPr>
            </w:pPr>
          </w:p>
        </w:tc>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27,844</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w:t>
            </w:r>
          </w:p>
        </w:tc>
      </w:tr>
      <w:tr>
        <w:trPr>
          <w:trHeight w:val="180"/>
        </w:trPr>
        <w:tc>
          <w:tcPr>
            <w:tcW w:w="540" w:type="dxa"/>
            <w:vAlign w:val="bottom"/>
          </w:tcPr>
          <w:p>
            <w:pPr>
              <w:spacing w:after="0"/>
              <w:rPr>
                <w:sz w:val="15"/>
                <w:szCs w:val="15"/>
                <w:color w:val="auto"/>
              </w:rPr>
            </w:pPr>
          </w:p>
        </w:tc>
        <w:tc>
          <w:tcPr>
            <w:tcW w:w="72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w:t>
            </w:r>
          </w:p>
        </w:tc>
      </w:tr>
      <w:tr>
        <w:trPr>
          <w:trHeight w:val="171"/>
        </w:trPr>
        <w:tc>
          <w:tcPr>
            <w:tcW w:w="540" w:type="dxa"/>
            <w:vAlign w:val="bottom"/>
          </w:tcPr>
          <w:p>
            <w:pPr>
              <w:spacing w:after="0"/>
              <w:rPr>
                <w:sz w:val="14"/>
                <w:szCs w:val="14"/>
                <w:color w:val="auto"/>
              </w:rPr>
            </w:pPr>
          </w:p>
        </w:tc>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53,828</w:t>
            </w:r>
          </w:p>
        </w:tc>
      </w:tr>
      <w:tr>
        <w:trPr>
          <w:trHeight w:val="170"/>
        </w:trPr>
        <w:tc>
          <w:tcPr>
            <w:tcW w:w="540" w:type="dxa"/>
            <w:vAlign w:val="bottom"/>
          </w:tcPr>
          <w:p>
            <w:pPr>
              <w:spacing w:after="0"/>
              <w:rPr>
                <w:sz w:val="14"/>
                <w:szCs w:val="14"/>
                <w:color w:val="auto"/>
              </w:rPr>
            </w:pPr>
          </w:p>
        </w:tc>
        <w:tc>
          <w:tcPr>
            <w:tcW w:w="72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80"/>
        </w:trPr>
        <w:tc>
          <w:tcPr>
            <w:tcW w:w="540" w:type="dxa"/>
            <w:vAlign w:val="bottom"/>
          </w:tcPr>
          <w:p>
            <w:pPr>
              <w:spacing w:after="0"/>
              <w:rPr>
                <w:sz w:val="15"/>
                <w:szCs w:val="15"/>
                <w:color w:val="auto"/>
              </w:rPr>
            </w:pPr>
          </w:p>
        </w:tc>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1"/>
        </w:trPr>
        <w:tc>
          <w:tcPr>
            <w:tcW w:w="540" w:type="dxa"/>
            <w:vAlign w:val="bottom"/>
          </w:tcPr>
          <w:p>
            <w:pPr>
              <w:spacing w:after="0"/>
              <w:rPr>
                <w:sz w:val="14"/>
                <w:szCs w:val="14"/>
                <w:color w:val="auto"/>
              </w:rPr>
            </w:pPr>
          </w:p>
        </w:tc>
        <w:tc>
          <w:tcPr>
            <w:tcW w:w="7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0"/>
        </w:trPr>
        <w:tc>
          <w:tcPr>
            <w:tcW w:w="540" w:type="dxa"/>
            <w:vAlign w:val="bottom"/>
          </w:tcPr>
          <w:p>
            <w:pPr>
              <w:spacing w:after="0"/>
              <w:rPr>
                <w:sz w:val="14"/>
                <w:szCs w:val="14"/>
                <w:color w:val="auto"/>
              </w:rPr>
            </w:pPr>
          </w:p>
        </w:tc>
        <w:tc>
          <w:tcPr>
            <w:tcW w:w="72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80"/>
        </w:trPr>
        <w:tc>
          <w:tcPr>
            <w:tcW w:w="540" w:type="dxa"/>
            <w:vAlign w:val="bottom"/>
          </w:tcPr>
          <w:p>
            <w:pPr>
              <w:spacing w:after="0"/>
              <w:rPr>
                <w:sz w:val="15"/>
                <w:szCs w:val="15"/>
                <w:color w:val="auto"/>
              </w:rPr>
            </w:pPr>
          </w:p>
        </w:tc>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on revenue interest liability</w:t>
            </w: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w:t>
            </w:r>
          </w:p>
        </w:tc>
      </w:tr>
      <w:tr>
        <w:trPr>
          <w:trHeight w:val="180"/>
        </w:trPr>
        <w:tc>
          <w:tcPr>
            <w:tcW w:w="540" w:type="dxa"/>
            <w:vAlign w:val="bottom"/>
          </w:tcPr>
          <w:p>
            <w:pPr>
              <w:spacing w:after="0"/>
              <w:rPr>
                <w:sz w:val="15"/>
                <w:szCs w:val="15"/>
                <w:color w:val="auto"/>
              </w:rPr>
            </w:pPr>
          </w:p>
        </w:tc>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net of issuance costs</w:t>
            </w:r>
          </w:p>
        </w:tc>
        <w:tc>
          <w:tcPr>
            <w:tcW w:w="9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90,672</w:t>
            </w:r>
          </w:p>
        </w:tc>
      </w:tr>
      <w:tr>
        <w:trPr>
          <w:trHeight w:val="180"/>
        </w:trPr>
        <w:tc>
          <w:tcPr>
            <w:tcW w:w="540" w:type="dxa"/>
            <w:vAlign w:val="bottom"/>
          </w:tcPr>
          <w:p>
            <w:pPr>
              <w:spacing w:after="0"/>
              <w:rPr>
                <w:sz w:val="15"/>
                <w:szCs w:val="15"/>
                <w:color w:val="auto"/>
              </w:rPr>
            </w:pPr>
          </w:p>
        </w:tc>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exercise of warrants, net of issuance costs</w:t>
            </w: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w:t>
            </w:r>
          </w:p>
        </w:tc>
      </w:tr>
      <w:tr>
        <w:trPr>
          <w:trHeight w:val="180"/>
        </w:trPr>
        <w:tc>
          <w:tcPr>
            <w:tcW w:w="540" w:type="dxa"/>
            <w:vAlign w:val="bottom"/>
          </w:tcPr>
          <w:p>
            <w:pPr>
              <w:spacing w:after="0"/>
              <w:rPr>
                <w:sz w:val="15"/>
                <w:szCs w:val="15"/>
                <w:color w:val="auto"/>
              </w:rPr>
            </w:pPr>
          </w:p>
        </w:tc>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issuance costs</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40" w:type="dxa"/>
            <w:vAlign w:val="bottom"/>
          </w:tcPr>
          <w:p>
            <w:pPr>
              <w:spacing w:after="0"/>
              <w:rPr>
                <w:sz w:val="14"/>
                <w:szCs w:val="14"/>
                <w:color w:val="auto"/>
              </w:rPr>
            </w:pPr>
          </w:p>
        </w:tc>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90,606</w:t>
            </w:r>
          </w:p>
        </w:tc>
      </w:tr>
      <w:tr>
        <w:trPr>
          <w:trHeight w:val="170"/>
        </w:trPr>
        <w:tc>
          <w:tcPr>
            <w:tcW w:w="540" w:type="dxa"/>
            <w:vAlign w:val="bottom"/>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0740"/>
          </w:cols>
          <w:pgMar w:left="300" w:top="116" w:right="859" w:bottom="1440" w:gutter="0" w:footer="0" w:header="0"/>
        </w:sectPr>
      </w:pPr>
    </w:p>
    <w:p>
      <w:pPr>
        <w:ind w:left="560" w:right="60"/>
        <w:spacing w:after="0" w:line="289" w:lineRule="auto"/>
        <w:rPr>
          <w:sz w:val="20"/>
          <w:szCs w:val="20"/>
          <w:color w:val="auto"/>
        </w:rPr>
      </w:pPr>
      <w:r>
        <w:rPr>
          <w:rFonts w:ascii="Times New Roman" w:cs="Times New Roman" w:eastAsia="Times New Roman" w:hAnsi="Times New Roman"/>
          <w:sz w:val="14"/>
          <w:szCs w:val="14"/>
          <w:color w:val="auto"/>
        </w:rPr>
        <w:t>Net (decrease) increase in cash and cash equivalents Cash and cash equivalents at beginning of period</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Cash and cash equivalents at end of period</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Non-cash right of use asset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920" w:type="dxa"/>
        <w:tblCellMar>
          <w:top w:w="0" w:type="dxa"/>
          <w:left w:w="0" w:type="dxa"/>
          <w:bottom w:w="0" w:type="dxa"/>
          <w:right w:w="0" w:type="dxa"/>
        </w:tblCellMar>
      </w:tblPr>
      <w:tr>
        <w:trPr>
          <w:trHeight w:val="176"/>
        </w:trPr>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144,361</w:t>
            </w:r>
          </w:p>
        </w:tc>
      </w:tr>
      <w:tr>
        <w:trPr>
          <w:trHeight w:val="184"/>
        </w:trPr>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144,761</w:t>
            </w: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82,248</w:t>
            </w:r>
          </w:p>
        </w:tc>
      </w:tr>
      <w:tr>
        <w:trPr>
          <w:trHeight w:val="171"/>
        </w:trPr>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114,633</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226,609</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8"/>
        </w:trPr>
        <w:tc>
          <w:tcPr>
            <w:tcW w:w="5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84"/>
        </w:trPr>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-591820</wp:posOffset>
            </wp:positionV>
            <wp:extent cx="647446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74460" cy="11430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-342900</wp:posOffset>
            </wp:positionV>
            <wp:extent cx="647446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74460" cy="11430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-113665</wp:posOffset>
            </wp:positionV>
            <wp:extent cx="647446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74460" cy="11430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condensed financial statements.</w:t>
      </w:r>
    </w:p>
    <w:p>
      <w:pPr>
        <w:spacing w:after="0" w:line="200" w:lineRule="exact"/>
        <w:rPr>
          <w:sz w:val="20"/>
          <w:szCs w:val="20"/>
          <w:color w:val="auto"/>
        </w:rPr>
      </w:pPr>
    </w:p>
    <w:p>
      <w:pPr>
        <w:sectPr>
          <w:pgSz w:w="11900" w:h="16838" w:orient="portrait"/>
          <w:cols w:equalWidth="0" w:num="2">
            <w:col w:w="3580" w:space="280"/>
            <w:col w:w="6880"/>
          </w:cols>
          <w:pgMar w:left="300" w:top="116" w:right="859" w:bottom="1440" w:gutter="0" w:footer="0" w:header="0"/>
          <w:type w:val="continuous"/>
        </w:sectPr>
      </w:pPr>
    </w:p>
    <w:p>
      <w:pPr>
        <w:spacing w:after="0" w:line="24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300" w:top="116" w:right="8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Esperion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The Company and Basis of Presentation</w:t>
      </w:r>
    </w:p>
    <w:p>
      <w:pPr>
        <w:spacing w:after="0" w:line="15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Esperion Therapeutics, Inc. ("the Company” or "Esperion") is a commercial stage biopharmaceutical company currently focused on bringing new medicines to patients that address unmet medical needs. The Company has developed and is commercializing U.S. Food and Drug Administration (“FDA”) approved oral, once-daily, non-statin medicines for patients who are at risk for cardiovascular disease and are struggling with elevated low density lipoprotein cholesterol ("LDL-C"). Through commercial execution, international partnerships and collaborations and advancement of its pre-clinical pipeline, the Company continues to evolve into a leading global biopharmaceutical company.</w:t>
      </w:r>
    </w:p>
    <w:p>
      <w:pPr>
        <w:spacing w:after="0" w:line="16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Company's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cardiovascular disease ("CVD"), or at high risk for a CVD event but without established CVD, and to reduce LDL-C in adults with primary hyperlipidemia. The Company's products were approved by the FDA, the European Commission ("EC") and Swiss Agency for Therapeutic Products ("Swissmedic") in 2020. The FDA approved expanded indications for NEXLETOL and NEXLIZET tablets in March 2024. The EC approved expanded indications for NILEMDO® (bempedoic acid) tablets and NUSTENDI® (bempedoic acid and ezetimibe) tablets in May 2024. In addition, Otsuka Pharmaceutical Co., Ltd ("Otsuka"), Esperion’s Japanese collaborator, announced that the primary endpoint of LDL-C reduction from baseline at Week 12 was achieved with statistical significance in the Phase 3 clinical trial in Japan for bempedoic acid as a treatment for hypercholesterolemia. Otsuka filed a New Drug Application ("NDA") in Japan in November 2024, with expected approval and National Health Insurance ("NHI") pricing in the second half of 2025. The Company filed supplemental NDAs for product approvals in Canada in November 2024. The Company's collaboration partners filed in Israel in March 2025 and plan to file in Australia mid 2025.</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Company's primary activities since incorporation have been conducting research and development activities, including nonclinical, preclinical and clinical testing, performing business and financial planning, recruiting personnel, raising capital, and commercializing its products.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successfully manage relationships with its collaboration partners; expand and successfully manage its management, commercial and scientific staff; and finance its operations with an ultimate goal of achieving profitable operations.</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Company has sustained annual operating losses since inception and expects such losses to continue over the near term future. While management believes current cash resources and future cash received from the Company's net product sales and collaboration agreements with Daiichi Sankyo Europe GmbH ("DSE"), Otsuka, and Daiichi Sankyo Co. Ltd ("DS"),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w:t>
      </w:r>
    </w:p>
    <w:p>
      <w:pPr>
        <w:spacing w:after="0" w:line="14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prior year amounts have been reclassified to conform with current year presentation.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2024, and the notes thereto, which are included in the Company’s Annual Report on Form 10-K for the year ended December 31, 2024. The results of operations for the interim periods are not necessarily indicative of the results to be expected for a full year, any other interim periods or any future year or period.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right="8440" w:firstLine="5"/>
        <w:spacing w:after="0" w:line="507" w:lineRule="auto"/>
        <w:tabs>
          <w:tab w:leader="none" w:pos="141"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Use of Estimates</w:t>
      </w:r>
    </w:p>
    <w:p>
      <w:pPr>
        <w:spacing w:after="0" w:line="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preparation of financial statements in accordance with GAAP in the United States requires management to make estimates and assumptions that affect the reported amounts of assets, liabilities, net revenues, expenses and related disclosures. Actual results could differ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Reporting</w:t>
      </w:r>
    </w:p>
    <w:p>
      <w:pPr>
        <w:spacing w:after="0" w:line="18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views its operations and manages its business in one operating segment, which is the business of researching, developing and commercializing therapies for the treatment of patients with elevated LDL-C.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Company’s cash and cash equivalents are carried at fair value. Financial instruments, including accounts receivable, other prepaid and current assets, accounts payable and accrued liabilities are carried at cost, which approximates fair value. Debt is carried at amortized cost, which approximates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of Credit Risk</w:t>
      </w:r>
    </w:p>
    <w:p>
      <w:pPr>
        <w:spacing w:after="0" w:line="1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enters into a limited number of distribution agreements with distributors and specialty pharmacies. The Company's net product sales are with these customers. As of March 31, 2025 and December 31, 2024, ten customers accounted for all of the Company's net trade receivables. As of March 31, 2025 and December 31, 2024, three customers held approximately 99% and 99% of the Company's trade receivables associated with net product sales, respectively. For the three months ended March 31, 2025 and 2024, three customers accounted for approximately 99% and 99% of gross sales of NEXLETOL and NEXLIZET,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7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 xml:space="preserve">In accordance with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 in the United States.</w:t>
      </w:r>
    </w:p>
    <w:p>
      <w:pPr>
        <w:spacing w:after="0" w:line="146" w:lineRule="exact"/>
        <w:rPr>
          <w:sz w:val="20"/>
          <w:szCs w:val="20"/>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Collaboration Revenue</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as consideration when it is probable that a future reversal is unlikely to occur. For sales-based milestones and royalties based on sales of product in a territory, the Company applies the sales-based royalty exception in ASC 606-10-55-65 to all of these milestones and royalties.</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(loss) income.</w:t>
      </w:r>
    </w:p>
    <w:p>
      <w:pPr>
        <w:spacing w:after="0" w:line="13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collaborators. On May 22, 2024, the Company announced that the EC approved the label update of both NILEMDO and NUSTENDI as treatments for hypercholesterolemia and to reduce the risk of adverse cardiovascular events. The EC’s decisions to update the labels of bempedoic acid and bempedoic acid / ezetimibe FDC are based on the positive CLEAR Outcomes trial results and makes them the first and only LDL-C lowering treatments indicated for primary and secondary prevention of cardiovascular events.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NILEMDO and NUSTENDI are approved to reduce cardiovascular risk in patients with or at high risk for atherosclerotic cardiovascular disease</w:t>
      </w:r>
      <w:r>
        <w:rPr>
          <w:rFonts w:ascii="Times New Roman" w:cs="Times New Roman" w:eastAsia="Times New Roman" w:hAnsi="Times New Roman"/>
          <w:sz w:val="16"/>
          <w:szCs w:val="16"/>
          <w:color w:val="008080"/>
        </w:rPr>
        <w:t>.</w:t>
      </w:r>
    </w:p>
    <w:p>
      <w:pPr>
        <w:spacing w:after="0" w:line="18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b.</w:t>
      </w:r>
      <w:r>
        <w:rPr>
          <w:sz w:val="20"/>
          <w:szCs w:val="20"/>
          <w:color w:val="auto"/>
        </w:rPr>
        <w:tab/>
      </w:r>
      <w:r>
        <w:rPr>
          <w:rFonts w:ascii="Times New Roman" w:cs="Times New Roman" w:eastAsia="Times New Roman" w:hAnsi="Times New Roman"/>
          <w:sz w:val="13"/>
          <w:szCs w:val="13"/>
          <w:b w:val="1"/>
          <w:bCs w:val="1"/>
          <w:color w:val="auto"/>
        </w:rPr>
        <w:t>Product Sales, Net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On March 22, 2024, the Company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Product sales, net totaled $34.9 million for the three months ended March 31, 2025, and $24.8 million for the three months ended March 31, 2024.</w:t>
      </w:r>
    </w:p>
    <w:p>
      <w:pPr>
        <w:spacing w:after="0" w:line="33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Company sells NEXLETOL and NEXLIZET to wholesalers in the U.S. and, in accordance with ASC 606,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3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Liabilities for co-pay assistance, expected product returns, rebates, and distributor fees are classified as “Accrued variable consideration” in the condensed balance sheets. Discounts, such as prompt pay discounts, and chargebacks are recorded as a reduction to accounts receivable in the condensed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Forms of Variable Consideration</w:t>
      </w:r>
    </w:p>
    <w:p>
      <w:pPr>
        <w:spacing w:after="0" w:line="179"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Rebates and Chargebacks: </w:t>
      </w:r>
      <w:r>
        <w:rPr>
          <w:rFonts w:ascii="Times New Roman" w:cs="Times New Roman" w:eastAsia="Times New Roman" w:hAnsi="Times New Roman"/>
          <w:sz w:val="14"/>
          <w:szCs w:val="14"/>
          <w:color w:val="auto"/>
        </w:rPr>
        <w:t>The Company estimates reductions to product sales for Public Health Service Institutions, such as Medicaid, Medicare and Veterans' Administration ("VA")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42"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Co-pay assistance: </w:t>
      </w:r>
      <w:r>
        <w:rPr>
          <w:rFonts w:ascii="Times New Roman" w:cs="Times New Roman" w:eastAsia="Times New Roman" w:hAnsi="Times New Roman"/>
          <w:sz w:val="14"/>
          <w:szCs w:val="14"/>
          <w:color w:val="auto"/>
        </w:rPr>
        <w:t>Eligible patients who have commercial insurance may receive assistance from the Company to reduce the patient's out of pocket costs. The Company will buy down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difference between the amount of the eligible patient's co-pay when the drug is purchased at the pharmacy at a determined price. Liabilities for co-pay assistance are calculated by actual program participation from third-party administrators.</w:t>
      </w:r>
    </w:p>
    <w:p>
      <w:pPr>
        <w:spacing w:after="0" w:line="134" w:lineRule="exact"/>
        <w:rPr>
          <w:sz w:val="20"/>
          <w:szCs w:val="20"/>
          <w:color w:val="auto"/>
        </w:rPr>
      </w:pPr>
    </w:p>
    <w:p>
      <w:pPr>
        <w:ind w:right="10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Distribution Fees: </w:t>
      </w:r>
      <w:r>
        <w:rPr>
          <w:rFonts w:ascii="Times New Roman" w:cs="Times New Roman" w:eastAsia="Times New Roman" w:hAnsi="Times New Roman"/>
          <w:sz w:val="14"/>
          <w:szCs w:val="14"/>
          <w:color w:val="auto"/>
        </w:rPr>
        <w:t>The Company has written contracts with its customers that include terms for distribution fees and costs for inventory management. The Company estimates and records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distribution fees due to its customers based on gross sales.</w:t>
      </w:r>
    </w:p>
    <w:p>
      <w:pPr>
        <w:spacing w:after="0" w:line="120"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Product Returns: </w:t>
      </w:r>
      <w:r>
        <w:rPr>
          <w:rFonts w:ascii="Times New Roman" w:cs="Times New Roman" w:eastAsia="Times New Roman" w:hAnsi="Times New Roman"/>
          <w:sz w:val="14"/>
          <w:szCs w:val="14"/>
          <w:color w:val="auto"/>
        </w:rPr>
        <w:t>The Company generally offers a right of return based on the product’s expiration date and certain spoilage and damaged instances. The Company estimates the amount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sales that may be returned and records the estimate as a reduction of product sales in the period the related product sales is recognized. The Company’s estimates for expected returns are based primarily on an ongoing analysis of sales information and visibility into the inventory remaining in the distribution channel.</w:t>
      </w:r>
    </w:p>
    <w:p>
      <w:pPr>
        <w:spacing w:after="0" w:line="134" w:lineRule="exact"/>
        <w:rPr>
          <w:sz w:val="20"/>
          <w:szCs w:val="20"/>
          <w:color w:val="auto"/>
        </w:rPr>
      </w:pPr>
    </w:p>
    <w:p>
      <w:pPr>
        <w:ind w:right="2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Discounts: </w:t>
      </w:r>
      <w:r>
        <w:rPr>
          <w:rFonts w:ascii="Times New Roman" w:cs="Times New Roman" w:eastAsia="Times New Roman" w:hAnsi="Times New Roman"/>
          <w:sz w:val="14"/>
          <w:szCs w:val="14"/>
          <w:color w:val="auto"/>
        </w:rPr>
        <w:t>The Company provides product discounts, such as prompt pay discounts, to its customers. The Company estimates cash discounts based on terms in negotiated contracts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Company’s expectations regarding future payment patterns.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Inventories are stated at the lower of cost or net realizable value and recognized on a first-in, first-out ("FIFO") method. The Company uses standard cost to determine the cost basis for inventory.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Inventory is capitalized based on when future economic benefit is expected to be realized.</w:t>
      </w:r>
    </w:p>
    <w:p>
      <w:pPr>
        <w:spacing w:after="0" w:line="164"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Liability Related to the Sale of Future Royalties</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 treats the sale of future DSE royalties as debt, amortized under the effective interest rate method over the estimated life of the royalty sale agreement. The royalty sale liability is presented net of deferred issuance costs on the balance sheets. The amortization of the liability related to future royalties and related interest expense are based on the Company's current estimates of future royalties, which the Company determines by using forecasted royalty sales from its collaboration partner, historical experience, third-party forecasts and current market conditions. The Company periodically assesses the forecasted sales and to the extent the amount or timing of future estimated royalty payments is materially different than previous estimates, the Company will account for any such change by adjusting the liability related to the sale of future</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royalties and prospectively recognize the related non-cash interest expense. Royalty revenue is recognized and the related liability reduced as earned.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179"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4"/>
          <w:szCs w:val="14"/>
          <w:color w:val="auto"/>
        </w:rPr>
        <w:t xml:space="preserve">In December 2023, the Financial Accounting Standards Board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requires disaggregated information about a reporting entity's effective tax rate reconciliation, as well as information related to income taxes paid to enhance the transparency and decision usefulness of income tax disclosures. This ASU will be effective for the annual period ending December 31, 2025. The Company is currently evaluating the impacts of adoption of this ASU.</w:t>
      </w:r>
    </w:p>
    <w:p>
      <w:pPr>
        <w:spacing w:after="0" w:line="15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Disaggregation of Income Statement Expenses (Subtopic 220-40)</w:t>
      </w:r>
      <w:r>
        <w:rPr>
          <w:rFonts w:ascii="Times New Roman" w:cs="Times New Roman" w:eastAsia="Times New Roman" w:hAnsi="Times New Roman"/>
          <w:sz w:val="14"/>
          <w:szCs w:val="14"/>
          <w:color w:val="auto"/>
        </w:rPr>
        <w:t>, which requires additional disclosure of the nature of expenses included in the income statement. The primary goal is to improve the decision usefulness of expense information on public business entities' income statements through the disaggregation of relevant expense captions in the notes of the financial statements. This ASU will be effective for annual periods beginning after December 15, 2026, and interim periods after December 15, 2027. The Company is currently evaluating the timing and impacts of adoption of this ASU.</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other material changes to the significant accounting policies previously disclosed in the Company’s Annual Report on Form 10-K for the fiscal year ended December 31, 2024.</w:t>
      </w:r>
    </w:p>
    <w:p>
      <w:pPr>
        <w:spacing w:after="0" w:line="177" w:lineRule="exact"/>
        <w:rPr>
          <w:sz w:val="20"/>
          <w:szCs w:val="20"/>
          <w:color w:val="auto"/>
        </w:rPr>
      </w:pPr>
    </w:p>
    <w:p>
      <w:pPr>
        <w:ind w:right="9060" w:firstLine="5"/>
        <w:spacing w:after="0" w:line="523" w:lineRule="auto"/>
        <w:tabs>
          <w:tab w:leader="none" w:pos="141"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Collaborations with Third Parties DSE Agreement Terms</w:t>
      </w:r>
    </w:p>
    <w:p>
      <w:pPr>
        <w:spacing w:after="0" w:line="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On January 2, 2019, the Company entered into a license and collaboration agreement with DSE, which was further amended on June 18, 2020, and January 2, 2024 (as amended, the “DSE Agreement”). Pursuant to the DSE Agreement, the Company granted DSE exclusive commercialization rights to bempedoic acid and the bempedoic acid / ezetimibe combination tablet in the European Economic Area, United Kingdom, Turkey, and Switzerland (collectively, the “DSE Territory”). DSE is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spacing w:after="0" w:line="16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Pursuant to the DSE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In addition, the Company is eligible to receive additional sales milestone payments related to total net sales achievements for DSE in the DSE Territory. Finally, the Company is entitled to receive tiered fifteen percent (15%) to twenty-five percent (25%) royalties on net DSE Territory sales.</w:t>
      </w:r>
    </w:p>
    <w:p>
      <w:pPr>
        <w:spacing w:after="0" w:line="17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DSE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14"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4"/>
          <w:szCs w:val="14"/>
          <w:color w:val="auto"/>
        </w:rPr>
        <w:t>On January 2, 2024, the Company entered into a settlement agreement (the "Settlement Agreement") with DSE to amicably resolve and dismiss their commercial dispute in the Southern District of New York. Under the Settlement Agreement, DSE has agreed to pay the Company an aggregate of $125.0 million, including (1) a $100.0-million payment within 15 business days of the effective date of the Settlement Agreement and (2) a $25.0-million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Pursuant to the Settlement Agreement, also on January 2, 2024, the Company entered into a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4"/>
          <w:szCs w:val="14"/>
          <w:color w:val="auto"/>
        </w:rPr>
        <w:t xml:space="preserve"> Amendment (the “DSE Amendment”) to the License and Collaboration Agreement dated January 2, 2019 with DSE. The DSE Amendment grants DSE the exclusive rights for clinical development, regulatory activities, manufacture and commercialization of a bempedoic acid/ezetimibe/statin triple combination pill in the DSE Territory. Further, after a transition period, DSE will assume sole responsibility for the manufacture of NILEMDO and NUSTENDI for the DSE Territory. As of January 2, 2024, DSE has sole authority and control of regulatory communications with the EMA regarding the pending marketing authorization applications for NILEMDO and NUSTENDI. Pursuant to the DSE Amendment, the Company is entitled to receive one-time cash payments of up to $300 million upon the achievement of certain commercial milestones related to total net sales achievements in the DSE Territory. The Company is also entitled to receive tiered 15% to 25% royalties on net DSE Territory sales.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Collaboration Revenue</w:t>
      </w:r>
    </w:p>
    <w:p>
      <w:pPr>
        <w:spacing w:after="0" w:line="170" w:lineRule="exact"/>
        <w:rPr>
          <w:sz w:val="20"/>
          <w:szCs w:val="20"/>
          <w:color w:val="auto"/>
        </w:rPr>
      </w:pPr>
    </w:p>
    <w:p>
      <w:pPr>
        <w:ind w:right="80" w:firstLine="191"/>
        <w:spacing w:after="0" w:line="271" w:lineRule="auto"/>
        <w:rPr>
          <w:sz w:val="20"/>
          <w:szCs w:val="20"/>
          <w:color w:val="auto"/>
        </w:rPr>
      </w:pPr>
      <w:r>
        <w:rPr>
          <w:rFonts w:ascii="Times New Roman" w:cs="Times New Roman" w:eastAsia="Times New Roman" w:hAnsi="Times New Roman"/>
          <w:sz w:val="14"/>
          <w:szCs w:val="14"/>
          <w:color w:val="auto"/>
        </w:rPr>
        <w:t>In the three months ended March 31, 2025, the Company recognized collaboration revenue of $29.4 million related to royalty revenue from DSE from the sales of NILEMDO and NUSTENDI as well as the sales of bulk tablets to DSE pursuant to the supply agreement that was executed with DSE.</w:t>
      </w:r>
    </w:p>
    <w:p>
      <w:pPr>
        <w:spacing w:after="0" w:line="124" w:lineRule="exact"/>
        <w:rPr>
          <w:sz w:val="20"/>
          <w:szCs w:val="20"/>
          <w:color w:val="auto"/>
        </w:rPr>
      </w:pPr>
    </w:p>
    <w:p>
      <w:pPr>
        <w:ind w:right="40" w:firstLine="191"/>
        <w:spacing w:after="0" w:line="245" w:lineRule="auto"/>
        <w:rPr>
          <w:sz w:val="20"/>
          <w:szCs w:val="20"/>
          <w:color w:val="auto"/>
        </w:rPr>
      </w:pPr>
      <w:r>
        <w:rPr>
          <w:rFonts w:ascii="Times New Roman" w:cs="Times New Roman" w:eastAsia="Times New Roman" w:hAnsi="Times New Roman"/>
          <w:sz w:val="14"/>
          <w:szCs w:val="14"/>
          <w:color w:val="auto"/>
        </w:rPr>
        <w:t>In the three months ended March 31, 2024, the Company considered the guidance under ASC 606 and concluded that the Settlement Agreement was in the scope of ASC 606. The Company determined that significantly all the upfront payment of $100.0 million from the transaction price received under the Settlement Agreement qualified for revenue recognition as it related to settlement of performance obligations completed under the DSE Agreement, including: 1) the settlement of the disputed milestone, which relates to variable consideration for full satisfied performance obligations, and 2) the developmental rights for the triple combination pill. In the three months ended March 31, 2024, the Company recognized collaboration revenue of $113.0 million made up of milestone from the Settlement Agreement, royalty revenue from DSE and sales of bulk tablets to DSE pursuant to the supply agreement that was executed with DSE.</w:t>
      </w:r>
    </w:p>
    <w:p>
      <w:pPr>
        <w:spacing w:after="0" w:line="13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All remaining future potential milestone amounts were not included in the transaction price, as they were all determined to be fully constrained following the concepts of ASC 606 due to the fact that such amounts hinge on sales-based milestones. Additionally, the Company expects that any consideration related to sales-based milestones will be recognized when the subsequent sales occur.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Otsuka Agreement Terms</w:t>
      </w:r>
    </w:p>
    <w:p>
      <w:pPr>
        <w:spacing w:after="0" w:line="181"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4"/>
          <w:szCs w:val="14"/>
          <w:color w:val="auto"/>
        </w:rPr>
        <w:t>On April 17, 2020, the Company entered into a license and collaboration agreement (the "Otsuka Agreement") with Otsuka. Pursuant to the Otsuka Agreement, the Company granted Otsuka exclusive development and commercialization rights to NEXLETOL and NEXLIZET in Japan (the "Otsuka Territory"). Otsuka will be responsible for all development, regulatory, and commercialization activities in Japan. In addition, Otsuka will fund all clinical development costs associated with the program in Japan.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Otsuka Agreement, the consideration consists of a $60.0 million upfront cash payment and the Company will be eligible to receive additional payments of up to $450.0 million if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regulatory and commercial milestones are achieved by Otsuka. The Company received $10.0 million in the year ended December 31, 2024 related to a milestone payment upon first Japanese</w:t>
      </w:r>
    </w:p>
    <w:p>
      <w:pPr>
        <w:spacing w:after="0" w:line="237" w:lineRule="auto"/>
        <w:rPr>
          <w:sz w:val="20"/>
          <w:szCs w:val="20"/>
          <w:color w:val="auto"/>
        </w:rPr>
      </w:pPr>
      <w:r>
        <w:rPr>
          <w:rFonts w:ascii="Times New Roman" w:cs="Times New Roman" w:eastAsia="Times New Roman" w:hAnsi="Times New Roman"/>
          <w:sz w:val="14"/>
          <w:szCs w:val="14"/>
          <w:color w:val="auto"/>
        </w:rPr>
        <w:t>New Drug Application ("JNDA") submissions in the Otsuka Territory. The potential future milestone payments include up to $10.0 million upon first JNDA approval in the Otsuka Territory, up to</w:t>
      </w:r>
    </w:p>
    <w:p>
      <w:pPr>
        <w:spacing w:after="0" w:line="237" w:lineRule="auto"/>
        <w:rPr>
          <w:sz w:val="20"/>
          <w:szCs w:val="20"/>
          <w:color w:val="auto"/>
        </w:rPr>
      </w:pPr>
      <w:r>
        <w:rPr>
          <w:rFonts w:ascii="Times New Roman" w:cs="Times New Roman" w:eastAsia="Times New Roman" w:hAnsi="Times New Roman"/>
          <w:sz w:val="14"/>
          <w:szCs w:val="14"/>
          <w:color w:val="auto"/>
        </w:rPr>
        <w:t>$70.0 million upon the first NHI Price Listing for NEXLETOL in the Otsuka Territory, up to $50.0 million upon the achievement of the primary major adverse cardiovascular events (“MACE”) in the</w:t>
      </w:r>
    </w:p>
    <w:p>
      <w:pPr>
        <w:spacing w:after="0" w:line="237" w:lineRule="auto"/>
        <w:rPr>
          <w:sz w:val="20"/>
          <w:szCs w:val="20"/>
          <w:color w:val="auto"/>
        </w:rPr>
      </w:pPr>
      <w:r>
        <w:rPr>
          <w:rFonts w:ascii="Times New Roman" w:cs="Times New Roman" w:eastAsia="Times New Roman" w:hAnsi="Times New Roman"/>
          <w:sz w:val="14"/>
          <w:szCs w:val="14"/>
          <w:color w:val="auto"/>
        </w:rPr>
        <w:t>CLEAR Outcomes study and inclusion of the CV risk reduction indication in the U.S. label, depending on the range of relative risk reduction in the CLEAR Outcomes study, payable upon approval</w:t>
      </w:r>
    </w:p>
    <w:p>
      <w:pPr>
        <w:spacing w:after="0" w:line="238" w:lineRule="auto"/>
        <w:rPr>
          <w:sz w:val="20"/>
          <w:szCs w:val="20"/>
          <w:color w:val="auto"/>
        </w:rPr>
      </w:pPr>
      <w:r>
        <w:rPr>
          <w:rFonts w:ascii="Times New Roman" w:cs="Times New Roman" w:eastAsia="Times New Roman" w:hAnsi="Times New Roman"/>
          <w:sz w:val="14"/>
          <w:szCs w:val="14"/>
          <w:color w:val="auto"/>
        </w:rPr>
        <w:t>and pricing in Japan. In addition, the Company is eligible to receive additional sales milestone payments up to $310.0 million related to total net sales achievements for Otsuka in Japan. Finally, the</w:t>
      </w:r>
    </w:p>
    <w:p>
      <w:pPr>
        <w:spacing w:after="0"/>
        <w:rPr>
          <w:sz w:val="20"/>
          <w:szCs w:val="20"/>
          <w:color w:val="auto"/>
        </w:rPr>
      </w:pPr>
      <w:r>
        <w:rPr>
          <w:rFonts w:ascii="Times New Roman" w:cs="Times New Roman" w:eastAsia="Times New Roman" w:hAnsi="Times New Roman"/>
          <w:sz w:val="14"/>
          <w:szCs w:val="14"/>
          <w:color w:val="auto"/>
        </w:rPr>
        <w:t>Company is entitled to receive tiered fifteen percent (15%) to thirty percent (30%) royalties on net sales in Japan.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Collaboration Revenue</w:t>
      </w:r>
    </w:p>
    <w:p>
      <w:pPr>
        <w:spacing w:after="0" w:line="181"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Company considered the guidance under ASC 606 and concluded that the agreement was in the scope of ASC 606. In the three months ended March 31, 2025 and 2024, the Company did not have any collaboration revenue related to the Otsuka Agreement.</w:t>
      </w:r>
    </w:p>
    <w:p>
      <w:pPr>
        <w:spacing w:after="0" w:line="12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DS Agreement Terms</w:t>
      </w:r>
    </w:p>
    <w:p>
      <w:pPr>
        <w:spacing w:after="0" w:line="170"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4"/>
          <w:szCs w:val="14"/>
          <w:color w:val="auto"/>
        </w:rPr>
        <w:t>In April 2021, the Company entered into a license and collaboration agreement with Daiichi Sankyo Co. Ltd (the "DS Agreement"). Pursuant to the DS Agreement, the Company granted DS exclusive rights to develop and commercialize bempedoic acid and the bempedoic acid / ezetimibe combination tablet in South Korea, Taiwan, Hong Kong, Thailand, Vietnam, Brazil, Macao, Cambodia and Myanmar (collectively, the "DS Territory"). The DS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4"/>
          <w:szCs w:val="14"/>
          <w:color w:val="auto"/>
        </w:rPr>
        <w:t>program in the DS Territory. Pursuant to the DS Agreement, the consideration consists of a $30.0 million upfront cash payment that is non-refundable, non-reimbursable and non-creditable. The Company is also eligible to receive additional one-time payments of up to $175.0 million if certain commercial milestones are achieved by DS. Also, the Company is entitled to receive tiered royalties of five percent (5%) to twenty percent (20%) of net sales in the DS Territory.</w:t>
      </w:r>
    </w:p>
    <w:p>
      <w:pPr>
        <w:spacing w:after="0" w:line="157" w:lineRule="exact"/>
        <w:rPr>
          <w:sz w:val="20"/>
          <w:szCs w:val="20"/>
          <w:color w:val="auto"/>
        </w:rPr>
      </w:pPr>
    </w:p>
    <w:p>
      <w:pPr>
        <w:jc w:val="both"/>
        <w:ind w:right="340"/>
        <w:spacing w:after="0" w:line="254" w:lineRule="auto"/>
        <w:rPr>
          <w:sz w:val="20"/>
          <w:szCs w:val="20"/>
          <w:color w:val="auto"/>
        </w:rPr>
      </w:pPr>
      <w:r>
        <w:rPr>
          <w:rFonts w:ascii="Times New Roman" w:cs="Times New Roman" w:eastAsia="Times New Roman" w:hAnsi="Times New Roman"/>
          <w:sz w:val="14"/>
          <w:szCs w:val="14"/>
          <w:color w:val="auto"/>
        </w:rPr>
        <w:t>Pursuant to the Settlement Agreement, on January 2, 2024, the Company entered into the 1st Amendment (the “DS Amendment”) to the License and Collaboration Agreement with DS. The DS Amendment grants DS exclusive rights for clinical development, regulatory activities, manufacture and commercialization of a bempedoic acid/ezetimibe/statin triple combination pill in the DS Territory. Further, after a transition period, DS will assume sole responsibility for the manufacture of NILEMDO and NUSTENDI for the DS Territory.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Collaboration Revenue</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The Company recognized $0.4 million of collaboration revenue in the three months ended March 31, 2025 related to royalty revenue from DS and sales of bulk tablets per the agreement with 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did not have any collaboration revenue in three months ended March 31, 2024 aside from that discussed in the "DSE Agreement Terms" section above.</w:t>
      </w:r>
    </w:p>
    <w:p>
      <w:pPr>
        <w:spacing w:after="0" w:line="18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Agreements</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February 26, 2025, the Company entered into a license and distribution agreement with Seqirus Pty Ltd ("CSL Seqirus") for the rights to commercialize NEXLETOL and NEXLIZET in Australia and New Zealand. Under the terms of the agreement, the Company will receive upfront and near-term milestone payments and will be responsible for supplying finished product to CSL Seqirus. CSL Seqirus will be responsible for commercialization, including regulatory approval, reimbursement and marketing. During the three months ended March 31, 2025, the Company recognized approximately $0.3 million of collaboration revenue related to the upfront milestone payment.</w:t>
      </w:r>
    </w:p>
    <w:p>
      <w:pPr>
        <w:spacing w:after="0" w:line="151"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4"/>
          <w:szCs w:val="14"/>
          <w:color w:val="auto"/>
        </w:rPr>
        <w:t>On May 7, 2025, the Company entered into a license and distribution agreement with HLS Therapeutics (“HLS”) for the exclusive rights to commercialize NEXLETOL and NEXLIZET in Canada. Under the terms of the agreement, the Company will receive upfront and near-term milestone payments and tiered royalties on product sales. The Company will be responsible for supplying finished product to HLS. HLS will be responsible for commercialization, including reimbursement and marketing.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Inventories,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Inventories, net consist of the following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20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91,835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84,584</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1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2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w:t>
            </w:r>
          </w:p>
        </w:tc>
      </w:tr>
      <w:tr>
        <w:trPr>
          <w:trHeight w:val="171"/>
        </w:trPr>
        <w:tc>
          <w:tcPr>
            <w:tcW w:w="7860" w:type="dxa"/>
            <w:vAlign w:val="bottom"/>
          </w:tcPr>
          <w:p>
            <w:pPr>
              <w:spacing w:after="0"/>
              <w:rPr>
                <w:sz w:val="14"/>
                <w:szCs w:val="14"/>
                <w:color w:val="auto"/>
              </w:rPr>
            </w:pPr>
          </w:p>
        </w:tc>
        <w:tc>
          <w:tcPr>
            <w:tcW w:w="120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99,322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94,491</w:t>
            </w:r>
          </w:p>
        </w:tc>
      </w:tr>
      <w:tr>
        <w:trPr>
          <w:trHeight w:val="20"/>
        </w:trPr>
        <w:tc>
          <w:tcPr>
            <w:tcW w:w="78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Inventory reserves were $4.4 million and $0.3 million at March 31, 2025 and December 31, 2024,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Commitments and Contingencies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ANDA Litigation</w:t>
      </w:r>
    </w:p>
    <w:p>
      <w:pPr>
        <w:spacing w:after="0" w:line="19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auto"/>
        </w:rPr>
        <w:t>Starting in March 2024, the Company received notices from nine pharmaceutical companies, six of which filed exclusively with respect to NEXLETOL and four of which filed with respect to NEXLETOL and NEXLIZET (each, an “ANDA Filer”), notifying the Company that each company had filed an Abbreviated New Drug Application ("ANDA") with the FDA seeking approval of a generic version of NEXLETOL and/or NEXLIZET in the United States, as applicable.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Under the Hatch-Waxman Act to the Federal Food, Drug, and Cosmetic Act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w:t>
      </w:r>
    </w:p>
    <w:p>
      <w:pPr>
        <w:spacing w:after="0" w:line="14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4"/>
          <w:szCs w:val="14"/>
          <w:color w:val="auto"/>
        </w:rPr>
        <w:t>Beginning in May 2024, the Company filed patent infringement lawsuits under the Hatch-Waxman Act in the United States District Court, District of New Jersey, against each ANDA Filer: Accord Healthcare Inc.; Alkem Laboratories Ltd.; Aurobindo Pharma Limited (along with an affiliate); Dr. Reddy’s Laboratories Inc. (along with an affiliate); Hetero USA Inc. (along with affiliates); Micro Labs USA Inc. (along with an affiliate); MSN Pharmaceuticals Inc. (along with an affiliate); Renata Limited; and 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 The trial is anticipated to begin no earlier than January 2027, but no trial date has been 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Cash Equivalents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cash equivalents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9"/>
          </w:tcPr>
          <w:p>
            <w:pPr>
              <w:ind w:left="100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jc w:val="center"/>
              <w:ind w:right="300"/>
              <w:spacing w:after="0" w:line="106"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Gross Unrealized Gains</w:t>
            </w:r>
          </w:p>
        </w:tc>
        <w:tc>
          <w:tcPr>
            <w:tcW w:w="100" w:type="dxa"/>
            <w:vAlign w:val="bottom"/>
          </w:tcPr>
          <w:p>
            <w:pPr>
              <w:spacing w:after="0"/>
              <w:rPr>
                <w:sz w:val="10"/>
                <w:szCs w:val="10"/>
                <w:color w:val="auto"/>
              </w:rPr>
            </w:pPr>
          </w:p>
        </w:tc>
        <w:tc>
          <w:tcPr>
            <w:tcW w:w="1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Gross Unrealized Losses</w:t>
            </w:r>
          </w:p>
        </w:tc>
        <w:tc>
          <w:tcPr>
            <w:tcW w:w="260" w:type="dxa"/>
            <w:vAlign w:val="bottom"/>
          </w:tcPr>
          <w:p>
            <w:pPr>
              <w:spacing w:after="0"/>
              <w:rPr>
                <w:sz w:val="10"/>
                <w:szCs w:val="10"/>
                <w:color w:val="auto"/>
              </w:rPr>
            </w:pPr>
          </w:p>
        </w:tc>
        <w:tc>
          <w:tcPr>
            <w:tcW w:w="118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Money market funds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4"/>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4"/>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Certificates of deposit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4"/>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20" w:type="dxa"/>
            <w:vAlign w:val="bottom"/>
            <w:gridSpan w:val="4"/>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88,461</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88,461</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ind w:left="9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jc w:val="center"/>
              <w:ind w:right="236"/>
              <w:spacing w:after="0" w:line="108"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Gross Unrealized Gains</w:t>
            </w:r>
          </w:p>
        </w:tc>
        <w:tc>
          <w:tcPr>
            <w:tcW w:w="100" w:type="dxa"/>
            <w:vAlign w:val="bottom"/>
          </w:tcPr>
          <w:p>
            <w:pPr>
              <w:spacing w:after="0"/>
              <w:rPr>
                <w:sz w:val="10"/>
                <w:szCs w:val="10"/>
                <w:color w:val="auto"/>
              </w:rPr>
            </w:pPr>
          </w:p>
        </w:tc>
        <w:tc>
          <w:tcPr>
            <w:tcW w:w="142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Gross Unrealized Losses</w:t>
            </w:r>
          </w:p>
        </w:tc>
        <w:tc>
          <w:tcPr>
            <w:tcW w:w="260" w:type="dxa"/>
            <w:vAlign w:val="bottom"/>
          </w:tcPr>
          <w:p>
            <w:pPr>
              <w:spacing w:after="0"/>
              <w:rPr>
                <w:sz w:val="10"/>
                <w:szCs w:val="10"/>
                <w:color w:val="auto"/>
              </w:rPr>
            </w:pPr>
          </w:p>
        </w:tc>
        <w:tc>
          <w:tcPr>
            <w:tcW w:w="1180" w:type="dxa"/>
            <w:vAlign w:val="bottom"/>
            <w:gridSpan w:val="2"/>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65"/>
        </w:trPr>
        <w:tc>
          <w:tcPr>
            <w:tcW w:w="2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Money market funds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106,894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4"/>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4"/>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Certificates of deposit</w:t>
            </w:r>
          </w:p>
        </w:tc>
        <w:tc>
          <w:tcPr>
            <w:tcW w:w="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2025, other income, net in the statements of operations includes interest income on cash equivalents of $1.1 million. During the three months ended March 31, 2024, other income, net in the statements of operations includes interest income on cash equivalents of $2.4 million. During the three months ended March 31, 2025 and March 31, 2024, there was no accretion of premiums and discounts on investments.</w:t>
      </w:r>
    </w:p>
    <w:p>
      <w:pPr>
        <w:spacing w:after="0" w:line="136"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There were no unrealized gains or losses on investments reclassified from accumulated other comprehensive income (loss) to other income in the statements of operations during the three months ended March 31, 2025 and 2024.</w:t>
      </w:r>
    </w:p>
    <w:p>
      <w:pPr>
        <w:spacing w:after="0" w:line="12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the three months ended March 31, 2025 and 2024, there were no allowances for credit losses and all unrealized gains (losses) for available-for-sale securities were recognized in accumulated other comprehensive income (loss). As of March 31, 2025, the Company had no accrued interest receivables.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Fair Value Measurements</w:t>
      </w:r>
    </w:p>
    <w:p>
      <w:pPr>
        <w:spacing w:after="0" w:line="18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2"/>
        </w:trPr>
        <w:tc>
          <w:tcPr>
            <w:tcW w:w="10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color w:val="auto"/>
              </w:rPr>
              <w:t>Level 1 inputs:</w:t>
            </w:r>
          </w:p>
        </w:tc>
        <w:tc>
          <w:tcPr>
            <w:tcW w:w="740" w:type="dxa"/>
            <w:vAlign w:val="bottom"/>
          </w:tcPr>
          <w:p>
            <w:pPr>
              <w:spacing w:after="0"/>
              <w:rPr>
                <w:sz w:val="24"/>
                <w:szCs w:val="24"/>
                <w:color w:val="auto"/>
              </w:rPr>
            </w:pPr>
          </w:p>
        </w:tc>
        <w:tc>
          <w:tcPr>
            <w:tcW w:w="40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Quoted prices for identical assets or liabilities in active markets;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Level 2 inputs:</w:t>
            </w:r>
          </w:p>
        </w:tc>
        <w:tc>
          <w:tcPr>
            <w:tcW w:w="9520" w:type="dxa"/>
            <w:vAlign w:val="bottom"/>
            <w:gridSpan w:val="13"/>
          </w:tcPr>
          <w:p>
            <w:pPr>
              <w:ind w:left="280"/>
              <w:spacing w:after="0"/>
              <w:rPr>
                <w:sz w:val="20"/>
                <w:szCs w:val="20"/>
                <w:color w:val="auto"/>
              </w:rPr>
            </w:pPr>
            <w:r>
              <w:rPr>
                <w:rFonts w:ascii="Times New Roman" w:cs="Times New Roman" w:eastAsia="Times New Roman" w:hAnsi="Times New Roman"/>
                <w:sz w:val="14"/>
                <w:szCs w:val="14"/>
                <w:color w:val="auto"/>
              </w:rPr>
              <w:t>Observable inputs other than Level 1 prices, such as quoted market prices for similar assets or liabilities or other inputs that are observable or can be corroborated</w:t>
            </w: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by market data; and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Level 3 inputs:</w:t>
            </w:r>
          </w:p>
        </w:tc>
        <w:tc>
          <w:tcPr>
            <w:tcW w:w="9520" w:type="dxa"/>
            <w:vAlign w:val="bottom"/>
            <w:gridSpan w:val="13"/>
          </w:tcPr>
          <w:p>
            <w:pPr>
              <w:ind w:left="280"/>
              <w:spacing w:after="0"/>
              <w:rPr>
                <w:sz w:val="20"/>
                <w:szCs w:val="20"/>
                <w:color w:val="auto"/>
              </w:rPr>
            </w:pPr>
            <w:r>
              <w:rPr>
                <w:rFonts w:ascii="Times New Roman" w:cs="Times New Roman" w:eastAsia="Times New Roman" w:hAnsi="Times New Roman"/>
                <w:sz w:val="14"/>
                <w:szCs w:val="14"/>
                <w:color w:val="auto"/>
              </w:rPr>
              <w:t>Unobservable inputs that are supported by little or no market activity and require the reporting entity to develop assumptions that market participants would use</w:t>
            </w: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when pricing the asset or liability.</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320" w:type="dxa"/>
            <w:vAlign w:val="bottom"/>
            <w:gridSpan w:val="10"/>
          </w:tcPr>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Company’s financial assets that have been measured at fair value on a recurring basis (in thousands):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336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9"/>
        </w:trPr>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Money market funds</w:t>
            </w:r>
          </w:p>
        </w:tc>
        <w:tc>
          <w:tcPr>
            <w:tcW w:w="4020" w:type="dxa"/>
            <w:vAlign w:val="bottom"/>
            <w:gridSpan w:val="3"/>
            <w:shd w:val="clear" w:color="auto" w:fill="CCEEFF"/>
          </w:tcPr>
          <w:p>
            <w:pPr>
              <w:ind w:left="35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88,058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Certificates of deposit</w:t>
            </w:r>
          </w:p>
        </w:tc>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33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740" w:type="dxa"/>
            <w:vAlign w:val="bottom"/>
            <w:gridSpan w:val="2"/>
            <w:vMerge w:val="continue"/>
          </w:tcPr>
          <w:p>
            <w:pPr>
              <w:spacing w:after="0"/>
              <w:rPr>
                <w:sz w:val="10"/>
                <w:szCs w:val="10"/>
                <w:color w:val="auto"/>
              </w:rPr>
            </w:pPr>
          </w:p>
        </w:tc>
        <w:tc>
          <w:tcPr>
            <w:tcW w:w="3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Money market funds</w:t>
            </w:r>
          </w:p>
        </w:tc>
        <w:tc>
          <w:tcPr>
            <w:tcW w:w="4020" w:type="dxa"/>
            <w:vAlign w:val="bottom"/>
            <w:gridSpan w:val="3"/>
          </w:tcPr>
          <w:p>
            <w:pPr>
              <w:ind w:left="35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106,894</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106,894</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3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107,297</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107,297</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transfers between Levels 1, 2 or 3 during the three months ended March 31, 2025 and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Liability Related to the Revenue Interest Purchase Agreement</w:t>
      </w:r>
    </w:p>
    <w:p>
      <w:pPr>
        <w:spacing w:after="0" w:line="18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On June 26, 2019, the Company entered into a Revenue Interest Purchase Agreement ("RIPA") with Eiger III SA LLC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spacing w:after="0" w:line="135"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4"/>
          <w:szCs w:val="14"/>
          <w:color w:val="auto"/>
        </w:rPr>
        <w:t>As consideration for such payments, the Purchasers had a right to receive certain revenue interests (the “Revenue Interests”) from the Company based upon net sales of the Company’s certain products, once approved, which were tiered payments initially ranging from 2.5% to 7.5% of the Company’s net sales in the covered territory (the “Covered Territory”); provided that if annual net sales equaled or exceeded the Sales Threshold and if the Purchasers received 100% of their invested capital by December 31, 2024, the revenue interest rate would be decreased to a single rate of</w:t>
      </w:r>
    </w:p>
    <w:p>
      <w:pPr>
        <w:ind w:right="120"/>
        <w:spacing w:after="0" w:line="236" w:lineRule="auto"/>
        <w:rPr>
          <w:sz w:val="20"/>
          <w:szCs w:val="20"/>
          <w:color w:val="auto"/>
        </w:rPr>
      </w:pPr>
      <w:r>
        <w:rPr>
          <w:rFonts w:ascii="Times New Roman" w:cs="Times New Roman" w:eastAsia="Times New Roman" w:hAnsi="Times New Roman"/>
          <w:sz w:val="14"/>
          <w:szCs w:val="14"/>
          <w:color w:val="auto"/>
        </w:rPr>
        <w:t>0.4% of the Company’s net sales in the Covered Territory beginning on January 1, 2025. If the Third Payment was drawn down by the Company, the applicable royalty rates would increase by one-third. The Covered Territory was the United States, but was subject to expand to include the world-wide net sales if the Company’s annual U.S. net sales were less than $350.0 million for the year ended December 31, 2021. The U.S. net sales milestone thresholds are not to be taken as financial guidance. The Purchasers’ rights to receive the Revenue Interests would terminate on the date on which the Purchasers received Revenue Interests payments of 195% of the then aggregate purchase price (the “Cumulative Purchaser Payments”) paid to the Company, unless the RIPA were terminated earlier.</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RIPA Amendments</w:t>
      </w:r>
    </w:p>
    <w:p>
      <w:pPr>
        <w:spacing w:after="0" w:line="191"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4"/>
          <w:szCs w:val="14"/>
          <w:color w:val="auto"/>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w:t>
      </w:r>
    </w:p>
    <w:p>
      <w:pPr>
        <w:spacing w:after="0" w:line="14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Since the Specified Net Revenue for the calendar quarter ended September 30, 2021 did not exceed $15.0 million, the Company deposited $50.0 million in a deposit account subject to a block account control agreement, which was classified as restricted cash on the balance sheets.</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November 23, 2022, the Company entered into Waiver and Amendment No. 3 to Revenue Interest Purchase Agreement and Amendment No. 2 to Security Agreement (the “RIPA Amendment 3”). Pursuant to the RIPA Amendment 3, among other things, (a) the Company agreed to make a one-time partial call payment with regards to the Revenue Interests (as defined in the RIPA) in an amount equal to $50.0 million from the restricted cash account (the “Partial Call”), (b) the amount of the Cumulative Purchaser Payments (as defined in the RIPA) was reduced to $177.8 million, and (c) the Purchasers and Purchaser Agent waived certain claimed defaults, breaches and Put Option Events under the RIPA and other related documents that may have occurred as a result of the Company’s opening of a new bank account.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27, 2024, the Company repurchased Revenue Interests outstanding under the RIPA and satisfied all other Obligations (as defined in the RIPA) owed to the Purchasers and the Purchaser</w:t>
      </w:r>
    </w:p>
    <w:p>
      <w:pPr>
        <w:spacing w:after="0" w:line="2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Agent by paying to the Purchaser Agent, for the benefit of the Purchasers, a payment in cash of $343.8 million (the “Repurchase Consideration”). Following the payment of the Repurchase Consideration, (a) all Revenue Interests were deemed to have been repurchased and all Obligations, debts and liabilities of the Company under the RIPA and the Transaction Documents (as defined in the RIPA) were deemed to have been 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w:t>
      </w:r>
    </w:p>
    <w:p>
      <w:pPr>
        <w:spacing w:after="0" w:line="273"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4"/>
          <w:szCs w:val="14"/>
          <w:color w:val="auto"/>
        </w:rPr>
        <w:t xml:space="preserve">In connection with the termination of the RIPA in accordance with ASC 470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the Company recorded a loss on debt extinguishment of $53.2 million in the loss on extinguishment of debt line item of the statement of operations and comprehensive loss for the year ended December 31, 2024.</w:t>
      </w:r>
    </w:p>
    <w:p>
      <w:pPr>
        <w:spacing w:after="0" w:line="12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connection with the termination of the RIPA, as of December 31, 2024, the Company no longer has the liability referred to as the “Revenue interest liability” on the balance sheet. The Company imputed interest expense associated with the liability using the effective interest rate method through the repurchase date of June 27, 2024. The effective interest rate was calculated based on the rate that would enable the debt to be repaid in full over the anticipated life of the arrangement. The interest rate on the liability varied during the term of the agreement depending on a number of factors, including the level of forecasted net sales. The Company evaluated the interest rate quarterly based on its current net sales forecasts utilizing the prospective method.</w:t>
      </w:r>
    </w:p>
    <w:p>
      <w:pPr>
        <w:spacing w:after="0" w:line="14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 recorded no interest expense related to this arrangement for the three months ended March 31, 2025, and approximately $10.9 million in interest expense related to this arrangement for the three months ended March 31, 2024.</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Sale of Future Royalties</w:t>
      </w:r>
    </w:p>
    <w:p>
      <w:pPr>
        <w:spacing w:after="0" w:line="17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4"/>
          <w:szCs w:val="14"/>
          <w:color w:val="auto"/>
        </w:rPr>
        <w:t>On June 27, 2024, the Company entered into the Purchase Agreement with OCM IP Healthcare Portfolio LP ("the Purchaser") ("OMERS"). Pursuant to the Purchase Agreement, the Company sold to the Purchaser, and the Purchaser purchased for $304.7 million,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and the Company, as amended (the “License and Collaboration Agreement” and such royalties being the “Royalty Interests”). In connection with the Purchase Agreement, the Company incurred $9.6 million in issuance costs.</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The Purchaser acquired 100% of the Royalty Interests until such time as the Purchaser has received an aggregate amount equal to 1.7x of the Purchase Price (equivalent to $517.9 million). Following receipt of such amount, 100% of all Royalty Interests will revert to the Company. The Purchase Agreement contains other customary terms and conditions, including representations and warranties, covenants and indemnification obligations in favor of each party.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Company evaluated the arrangement and determined that the proceeds from the sale of future royalties should be treated as a debt instrument according to ASC 470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The Company imputes interest expense associated with the liability using the effective interest rate method. The effective interest rate is calculated based on the rate that would enable the liability to be repaid in full over the anticipated life of the arrangement. The interest rate on the liability may vary during the term of the agreement depending on a number of factors, including the level of forecasted royalty sales. The Company evaluates the interest rate quarterly based on its expectations of forecasted royalty sales from its license partner, historical experience and current market conditions utilizing the prospective method. A significant increase or decrease in future royalty sales will materially impact the royalty sale liability, interest expense and the time period for repayment. The repayment of the royalty sale liability to the Purchaser does not have a fixed repayment schedule. Rather, it will be completely repaid and extinguished when the Company has repaid an aggregate amount equal to 1.7x of the Purchase Price. The $9.6 million in issuance costs will be amortized through interest expense over the life of the agreement. Royalties are remitted to the Purchaser in the subsequent quarter from when it's earned. The Company recognizes those royalties in accounts receivable, net and accounts payable on the condensed balance sheets until the royalties are remitted to the Purchaser from DSE.</w:t>
      </w:r>
    </w:p>
    <w:p>
      <w:pPr>
        <w:spacing w:after="0" w:line="16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4"/>
          <w:szCs w:val="14"/>
          <w:color w:val="auto"/>
        </w:rPr>
        <w:t>As of March 31, 2025, the Company has recorded a liability, referred to as the “Royalty sale liability” on the condensed balance sheets, of $296.2 million, net of $8.4 million of capitalized issuance costs in connection with the royalty sale liability, which will be amortized to interest expense over the estimated term, $2.0 million of which will be amortized over the next 12 months and $6.4 million thereafter. The Company currently expects to repay $57.2 million in the next twelve months.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recorded $13.1 million in interest expense related to this arrangement for the three months ended March 31, 2025, which included $0.4 million of amortized issuance costs.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effective annual imputed interest rate is 1.4% as of March 31,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royalty sale liability activity during the three months ended March 31, 2025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8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color w:val="auto"/>
              </w:rPr>
              <w:t>(in thousands)</w:t>
            </w:r>
          </w:p>
        </w:tc>
      </w:tr>
      <w:tr>
        <w:trPr>
          <w:trHeight w:val="18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royalty sale liability at December 31, 2024</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293,610</w:t>
            </w:r>
          </w:p>
        </w:tc>
      </w:tr>
      <w:tr>
        <w:trPr>
          <w:trHeight w:val="180"/>
        </w:trPr>
        <w:tc>
          <w:tcPr>
            <w:tcW w:w="9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Royalties recognized and settled to Purchaser</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(10,481)</w:t>
            </w:r>
          </w:p>
        </w:tc>
      </w:tr>
      <w:tr>
        <w:trPr>
          <w:trHeight w:val="180"/>
        </w:trPr>
        <w:tc>
          <w:tcPr>
            <w:tcW w:w="9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 recognized</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13,090</w:t>
            </w:r>
          </w:p>
        </w:tc>
      </w:tr>
      <w:tr>
        <w:trPr>
          <w:trHeight w:val="171"/>
        </w:trPr>
        <w:tc>
          <w:tcPr>
            <w:tcW w:w="9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royalty sale liability at March 31, 2025</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296,219</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Agreement</w:t>
      </w:r>
    </w:p>
    <w:p>
      <w:pPr>
        <w:spacing w:after="0" w:line="18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On December 13, 2024, the Company entered into a credit agreement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(the “Loan”), which was borrowed in full at closing. Proceeds from the Loan were used to repay a portion of the outstanding obligations under the Company’s existing $265.0 million aggregate principal amount 4.00% Convertible Senior Subordinated Notes due November 2025 (the “2025 Notes”) and to pay fees and expenses in connection with the Credit Agreement.</w:t>
      </w:r>
    </w:p>
    <w:p>
      <w:pPr>
        <w:spacing w:after="0" w:line="16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The Loan will bear interest at an annual rate of 9.75% if paid in cash, and 11.75% if paid-in-kind. At the Company’s option, interest on the Loan may be paid-in-kind for the first four full fiscal quarters ending after the closing date. The Credit Agreement requires quarterly interest-only payments for the first four years after the closing date and, thereafter, the Loan will partially amortize in quarterly principal payments of 12.50%, with the outstanding balance to be repaid on the maturity date, which shall be five (5) years after the closing date (the “Maturity Date”); provided that, such amortization may be adjusted pursuant to the terms of the Credit agreement. The Company may, at its option, prepay the Loan in whole or in part at any time, subject to concurrent payment of certain fees and, if prepaid (a) within the first two years after closing, a make-whole premium plus 3%, (b) after the second anniversary of closing and on or prior to the third anniversary, a prepayment premium of 3% and (c) after the third anniversary of closing and on or prior to the fourth anniversary, a prepayment premium of 1% (the “Prepayment Premium”). The Loan is subject to mandatory prepayment in the event of specified asset dispositions, extraordinary receipts, unpermitted debt issuances, change of control, and, in certain circumstances, failure to settle the exchanges of the Company’s Existing Notes, subject to certain exceptions and thresholds and concurrent payment of certain fees and, if prepaid within the first four years of closing, the applicable Prepayment Premium.</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All obligations under the Credit Agreement shall be guaranteed by the Company’s present and future wholly owned subsidiaries, subject to customary exceptions, and secured by assets of Company and the guarantors, including the equity interests in the Company’s subsidiaries, subject to customary exceptions. The Credit Agreement contains a financial covenant to maintain minimum liquidity of $50 million. The Credit Agreement contains affirmative and negative covenants customary for a senior secured loan. The negative covenants under the Credit Agreement limit the ability of the Company and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exceptions.</w:t>
      </w:r>
    </w:p>
    <w:p>
      <w:pPr>
        <w:spacing w:after="0" w:line="16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Credit Agreement also contains certain customary events of default, including, but not limited to, a failure to comply with the covenants in the Credit Agreement. If an event of default has occurred and continues beyond any applicable cure period, the administrative agent or the required lenders may accelerate all outstanding obligations under the Credit Agreement and/or exercise any other remedies provided under the loan documents.</w:t>
      </w:r>
    </w:p>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connection with the borrowing of the Loan, the Company incurred 2.5% of original issue discount ("OID"), or approximately $3.8 million. In addition, the Company incurred debt issuance costs of $5.4 million in connection with the borrowing of the Loan. Both the OID and debt issuance costs were capitalized and included in long-term debt on the condensed balance sheets at the inception of the Loan, and are being amortized to interest expense using the effective interest method over the same term. As of March 31, 2025, the Company recognized $141.4 million of long-term debt related to the Credit Agreement on the condensed balance sheets, net of the remaining unamortized discount and debt issuance costs associated with the Loan of $3.5 million and approximately $5.1 million, respectively. During the three months ended March 31, 2025, the Company recognized $4.1 million of interest expense, including $0.5 million of OID and debt issuance costs amortization.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2025 Notes</w:t>
      </w:r>
    </w:p>
    <w:p>
      <w:pPr>
        <w:spacing w:after="0" w:line="18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“2025 Notes”). The Company used approximately $46.0 million of the net proceeds from the offering of the notes to pay the cost of the Capped Call (as defined below) and $55.0 million of the net proceeds from the offering of the initial notes to finance the Prepaid Forward (as defined below). The 2025 Notes are the Company's senior unsecured obligations and mature on November 15, 2025 (the “Maturity Date”), unless earlier repurchased or converted into shares of the Company's common stock, par value $0.001 per share ("common stock"), under certain circumstances described below. The 2025 Notes are convertible into shares of the Company’s common stock, can be repurchased for cash, or a combination thereof, at the Company’s election, at an initial conversion rate of 30.2151 shares of common stock per $1,000 principal amount of the 2025 Notes, which is equivalent to an initial conversion price of approximately $33.096 per share of common stock, subject to adjustment. The Company will pay interest on the 2025 Notes semi-annually in arrears on May 15 and November 15 of each year.</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Holders may convert their 2025 Notes at their option at any time prior to the close of business on the business day immediately preceding August 15, 2025 in the following circumstances: (1) during any calendar quarter commencing after the calendar quarter ending on March 31, 2021 (and only during such calendar quarter), if the last reported sale price per share of the Company’s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the Company’s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spacing w:after="0" w:line="14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In addition, following certain corporate events or following issuance of a notice of redemption, the Company will, in certain circumstances, increase the conversion rate for a holder who elects to convert its notes in connection with such 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corporate event or to convert its notes called (or deemed called) for redemption during the related redemption period, as the case may be.</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2025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the Company’s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spacing w:after="0" w:line="14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October 22, 2021, the Company entered into a privately negotiated exchange agreement (the “2021 Exchange Agreement”) with two co-managed holders (the “Holders”) of its 2025 Notes. Under the terms of the 2021 Exchange Agreement the Holders agreed to exchange (the “2021 Exchange”) with the Company $15.0 million aggregate principal amount of the Convertible Notes held in the aggregate by them (and accrued interest thereon) for shares of the Company’s common stock. Pursuant to the 2021 Exchange Agreement, the number of shares of common stock to be issued by the Company to the Holders upon consummation of the 2021 Exchange was determined based upon the volume-weighted-average-price per share of common stock, subject to a floor of $5.62 per share, during the five trading-day averaging period, commencing on the trading day immediately following the date of the 2021 Exchange Agreement. The 2021 Exchange closed on November 3, 2021 with 1,094,848 shares of the Company's common stock being exchanged.</w:t>
      </w:r>
    </w:p>
    <w:p>
      <w:pPr>
        <w:spacing w:after="0" w:line="14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On December 12, 2024, the Company entered into privately negotiated exchange and subscription agreements with certain holders of its 4.00% Convertible Senior Subordinated Notes due 2025 (the “2025 Notes”) pursuant to which the Company issued $100.0 million aggregate principal amount of 5.75% Convertible Senior Subordinated Notes due in June 2030 (the “2030 Notes”) consisting of</w:t>
      </w:r>
    </w:p>
    <w:p>
      <w:pPr>
        <w:spacing w:after="0" w:line="1" w:lineRule="exact"/>
        <w:rPr>
          <w:sz w:val="20"/>
          <w:szCs w:val="20"/>
          <w:color w:val="auto"/>
        </w:rPr>
      </w:pPr>
    </w:p>
    <w:p>
      <w:pPr>
        <w:ind w:right="20" w:firstLine="5"/>
        <w:spacing w:after="0" w:line="256" w:lineRule="auto"/>
        <w:tabs>
          <w:tab w:leader="none" w:pos="19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$57.5 million principal amount of 2030 Notes, along with approximately $153.4 million in cash, including accrued interest, issued in exchange for approximately $210.1 million principal amount of 2025 Notes (the “Exchange Transaction”). The Company also issued and sold approximately $42.5 million aggregate principal amount of 2030 Notes for cash, pursuant to privately negotiated agreements (the “Subscription Transactions” and, together with the Exchange Transaction, the “Transaction”). The Exchange Transaction closed on December 17, 2024 under an Indenture between the Company and U.S. Bank Trust Company, National Association, as trustee. In exchange for issuing the 2030 Notes pursuant to the Exchange Transaction, the Company received and cancelled the exchanged 2025 Notes.</w:t>
      </w:r>
    </w:p>
    <w:p>
      <w:pPr>
        <w:spacing w:after="0" w:line="14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Company accounted for the Exchange as an extinguishment of a liability and calculated the loss on extinguishment of debt under ASC 470-50-40, which requires the difference between the reacquisition price of the debt and the net carrying amount of the extinguished debt to be recognized in the income statement. The reacquisition price of the 2025 Notes was the amount of principal exchanged. The net carrying amount of the debt was calculated by the face value of the notes less the unamortized debt issuance costs associated with the face value of the notes. The Company recognized a loss of $1.7 million in "Loss on extinguishment of debt and exchange transaction" on the statements of operations and comprehensive loss during the year ended December 31, 2024.</w:t>
      </w:r>
    </w:p>
    <w:p>
      <w:pPr>
        <w:spacing w:after="0" w:line="15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As of March 31, 2025, the principal amount of 2025 notes was $54.9 million, and the unamortized debt issuance costs were $0.2 million, for a net carrying amount of $54.7 million. As of December 31, 2024, the principal amount of 2025 notes was $54.9 million, and the unamortized debt discount and issuance costs were $0.3 million, for a net carrying amount of $54.6 million.</w:t>
      </w:r>
    </w:p>
    <w:p>
      <w:pPr>
        <w:spacing w:after="0" w:line="156"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Company recorded $0.6 million and $3.1 million of interest expense during the three months ended March 31, 2025 and 2024, respectively, relating to the cash interest on the 2025 notes due semi-annually and including the amortization of the debt issuance costs of $0.1 million and $0.4 million, respectively.</w:t>
      </w:r>
    </w:p>
    <w:p>
      <w:pPr>
        <w:spacing w:after="0" w:line="14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As of March 31, 2025, no 2025 Notes were convertible pursuant to their terms. The estimated fair value of the 2025 Notes was $54.0 million as of March 31, 2025 and $53.2 million as of December 31, 2024. The estimated fair value of the 2025 Notes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 determined through consideration of quoted market prices. As of March 31, 2025, the if-converted value of the 2025 Notes did not exceed the principal value of those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2030 Notes</w:t>
      </w:r>
    </w:p>
    <w:p>
      <w:pPr>
        <w:spacing w:after="0" w:line="20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As noted above, the Company issued $100 million aggregate principal amount of 5.75% Convertible Senior Subordinated Notes due 2030 (the “2030 Notes”) on December 17, 2024. The Company incurred approximately $3.3 million of issuance costs associated with the 2030 Notes.</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2030 Notes mature on June 15, 2030, unless earlier converted, redeemed or repurchased. The 2030 Notes are the Company’s senior unsecured obligations and will pay interest on the 2030 Notes at an annual rate of 5.75% payable in cash semiannually in arrears on June 15 and December 15 of each year, beginning June 15, 2025. Before March 15, 2030, holders of the 2030 Notes will have the right to convert their notes only upon the occurrence of certain events. From and after March 15, 2030, holders may convert their notes at any time at their election until the close of business on the second scheduled trading day immediately before the maturity date. The Company will have the right to elect to settle conversions by paying or delivering, as applicable, cash, shares of its common stock or a combination of cash and shares of its common stock. The initial conversion rate is 326.7974 shares of common stock per $1,000 principal amount of notes, which represents an initial conversion price of approximately $3.06 per share of common stock. The conversion rate and conversion price will be subject to adjustment upon the occurrence of certain events. The indenture governing the 2030 Notes includes certain restrictive covenants that limits the Company’s ability to incur additional indebtedness, subject to certain exceptions.</w:t>
      </w:r>
    </w:p>
    <w:p>
      <w:pPr>
        <w:spacing w:after="0" w:line="16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2030 Notes will be redeemable, in whole or in part, for cash at the Company’s option at any time, and from time to time, on or after December 20, 2027 and prior to the forty-first (41st) scheduled trading day immediately before the maturity date, but only if the last reported sale price per share exceeds 130% of the conversion price for a specified period of time and certain other conditions are satisfied. The redemption price will be equal to the principal amount of the 2030 Notes to be redeemed, plus accrued and unpaid interest, if any, to, but excluding, the redemption date.</w:t>
      </w:r>
    </w:p>
    <w:p>
      <w:pPr>
        <w:spacing w:after="0" w:line="15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addition, if the Company undergoes a “fundamental change” (as defined in the Indenture), subject to certain conditions, holders may require the Company to repurchase for cash all or part of their 2030 Notes in principal amounts of $1,000 or an integral multiple thereof. The repurchase price will be equal to the principal amount of the 2030 Notes to be repurchased, plus accrued and unpaid interest, if any, to, but excluding, the applicable repurchase date.</w:t>
      </w:r>
    </w:p>
    <w:p>
      <w:pPr>
        <w:spacing w:after="0" w:line="15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Indenture provides for customary events of default, including payment defaults, breaches of covenants, failure to pay certain judgments and certain events of bankruptcy, insolvency and reorganization. If an event of default occurs and is continuing, the principal amount of the 2030 Notes, plus accrued and unpaid interest, if any, may be declared immediately due and payable, subject to certain conditions set forth in the Indenture. These amounts automatically become due and payable if an event of default relating to certain events of bankruptcy, insolvency or reorganization occurs.</w:t>
      </w:r>
    </w:p>
    <w:p>
      <w:pPr>
        <w:spacing w:after="0" w:line="1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As of March 31, 2025, the principal amount of 2030 notes was $100.0 million, and the unamortized debt issuance costs were $3.1 million, for a net carrying amount of $96.9 million. As of December 31, 2024, the principal amount of 2030 notes was $100.0 million, and the unamortized debt issuance costs were $3.3 million, for a net carrying amount of $96.7 million.</w:t>
      </w:r>
    </w:p>
    <w:p>
      <w:pPr>
        <w:spacing w:after="0" w:line="15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recorded $1.6 million of interest expense during the three months ended March 31, 2025 relating to the cash interest on the 2030 notes due semi-annually and including amortization of the debt issuance costs of $0.1 million.</w:t>
      </w:r>
    </w:p>
    <w:p>
      <w:pPr>
        <w:spacing w:after="0" w:line="1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As of March 31, 2025, no 2030 Notes were convertible pursuant to their terms. The estimated fair value of the 2030 Notes was $90.3 million as of March 31, 2025 and $105.4 million as of December 31, 2024. The estimated fair value of the 2030 Notes was determined through consideration of quoted market prices. As of March 31, 2025, the if-converted value of the 2030 Notes did not exceed the principal value of those notes.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in compliance with all of its covenants at March 31, 2025.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future principal payments due under the Loan, 2025 Notes and 2030 Notes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60" w:type="dxa"/>
            <w:vAlign w:val="bottom"/>
          </w:tcPr>
          <w:p>
            <w:pPr>
              <w:spacing w:after="0"/>
              <w:rPr>
                <w:sz w:val="16"/>
                <w:szCs w:val="16"/>
                <w:color w:val="auto"/>
              </w:rPr>
            </w:pPr>
          </w:p>
        </w:tc>
        <w:tc>
          <w:tcPr>
            <w:tcW w:w="2340" w:type="dxa"/>
            <w:vAlign w:val="bottom"/>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1"/>
        </w:trPr>
        <w:tc>
          <w:tcPr>
            <w:tcW w:w="326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54,912</w:t>
            </w:r>
          </w:p>
        </w:tc>
      </w:tr>
      <w:tr>
        <w:trPr>
          <w:trHeight w:val="180"/>
        </w:trPr>
        <w:tc>
          <w:tcPr>
            <w:tcW w:w="32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Pr>
          <w:p>
            <w:pPr>
              <w:spacing w:after="0"/>
              <w:rPr>
                <w:sz w:val="15"/>
                <w:szCs w:val="15"/>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26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2027</w:t>
            </w:r>
          </w:p>
        </w:tc>
        <w:tc>
          <w:tcPr>
            <w:tcW w:w="560" w:type="dxa"/>
            <w:vAlign w:val="bottom"/>
            <w:shd w:val="clear" w:color="auto" w:fill="CCEEFF"/>
          </w:tcPr>
          <w:p>
            <w:pPr>
              <w:spacing w:after="0"/>
              <w:rPr>
                <w:sz w:val="15"/>
                <w:szCs w:val="15"/>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2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2028</w:t>
            </w:r>
          </w:p>
        </w:tc>
        <w:tc>
          <w:tcPr>
            <w:tcW w:w="560" w:type="dxa"/>
            <w:vAlign w:val="bottom"/>
          </w:tcPr>
          <w:p>
            <w:pPr>
              <w:spacing w:after="0"/>
              <w:rPr>
                <w:sz w:val="15"/>
                <w:szCs w:val="15"/>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w:t>
            </w:r>
          </w:p>
        </w:tc>
      </w:tr>
      <w:tr>
        <w:trPr>
          <w:trHeight w:val="180"/>
        </w:trPr>
        <w:tc>
          <w:tcPr>
            <w:tcW w:w="326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2029</w:t>
            </w:r>
          </w:p>
        </w:tc>
        <w:tc>
          <w:tcPr>
            <w:tcW w:w="560" w:type="dxa"/>
            <w:vAlign w:val="bottom"/>
            <w:shd w:val="clear" w:color="auto" w:fill="CCEEFF"/>
          </w:tcPr>
          <w:p>
            <w:pPr>
              <w:spacing w:after="0"/>
              <w:rPr>
                <w:sz w:val="15"/>
                <w:szCs w:val="15"/>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131,250</w:t>
            </w:r>
          </w:p>
        </w:tc>
      </w:tr>
      <w:tr>
        <w:trPr>
          <w:trHeight w:val="180"/>
        </w:trPr>
        <w:tc>
          <w:tcPr>
            <w:tcW w:w="32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2030</w:t>
            </w:r>
          </w:p>
        </w:tc>
        <w:tc>
          <w:tcPr>
            <w:tcW w:w="5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71"/>
        </w:trPr>
        <w:tc>
          <w:tcPr>
            <w:tcW w:w="32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304,912</w:t>
            </w:r>
          </w:p>
        </w:tc>
      </w:tr>
      <w:tr>
        <w:trPr>
          <w:trHeight w:val="20"/>
        </w:trPr>
        <w:tc>
          <w:tcPr>
            <w:tcW w:w="3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Capped Call Transactions</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In connection with the offering of the 2025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2025 Notes to pay the cost of the capped call transactions. The capped call transactions are expected generally to reduce potential dilution to the Company’s common stock upon any conversion of the 2025 Notes and/or offset any cash payments the Company is required to make in excess of the principal amount of converted notes, as the case may be, in the event that the market value per share of the Company’s common stock, as measured under the terms of the capped call transactions at the time of exercise, is greater than the strike price of the capped call transactions (which initially corresponds to the initial conversion price of the 2025 Notes, and is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are separate transactions, entered into by the Company and are not part of the terms of the 2025 Notes.</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Given that the transactions meet certain accounting criteria, the convertible note capped call transactions are recorded in stockholders’ deficit, and they are not accounted for as derivatives and are not remeasured each reporting period. As of March 31, 2025, the Company had not purchased any shares under the convertible note capped call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Prepaid Forward</w:t>
      </w:r>
    </w:p>
    <w:p>
      <w:pPr>
        <w:spacing w:after="0" w:line="18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In connection with the offering of the 2025 Notes, the Company entered into a prepaid forward stock repurchase transaction (“Prepaid Forward”) with a financial institution (“Forward Counterparty”). Pursuant to the Prepaid Forward, the Company used approximately $55.0 million of the net proceeds from the offering of the 2025 Notes to fund the Prepaid Forward. The aggregate number of shares of the Company’s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March 31, 2025, 505,148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Other Accrued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accrued liabilities consist of the following (in thousands):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83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5"/>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legal fees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12,739</w:t>
            </w: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professional fees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w:t>
            </w: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 on convertible notes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other</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r>
      <w:tr>
        <w:trPr>
          <w:trHeight w:val="171"/>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Total other accrued liabilities</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16,625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19,593</w:t>
            </w:r>
          </w:p>
        </w:tc>
      </w:tr>
      <w:tr>
        <w:trPr>
          <w:trHeight w:val="20"/>
        </w:trPr>
        <w:tc>
          <w:tcPr>
            <w:tcW w:w="8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Stock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2022 Stock Option and Incentive Plan</w:t>
      </w:r>
    </w:p>
    <w:p>
      <w:pPr>
        <w:spacing w:after="0" w:line="17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 April 2022, the Company’s board of directors (the “Board”) approved the Esperion Therapeutics, Inc. 2022 Stock Option and Incentive Plan (as amended, the “2022 Plan”), which was approved by the Company's stockholders in May 2022.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("RSUs"), unrestricted stock, cash-based awards, and dividend equivalent rights. Following the approval of the 2022 Plan, no further awards will be issued under the Company’s Amended and Restated 2013 Stock Option and Incentive Plan (the “2013 Plan”). In April 2023, the Board approved a first amendment to the 2022 Plan, which was approved by the Company's stockholders in June 2023, which increased the number of shares of Common Stock reserved for awards under the 2022 Plan to 10,650,000. In April 2024, the Board approved a second amendment to the 2022 Plan, which was approved by the Company's stockholders in May 2024, which increased the number of shares of Common Stock reserved for awards under the 2022 Plan to 16,900,000.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Stock Purchase Plan</w:t>
      </w:r>
    </w:p>
    <w:p>
      <w:pPr>
        <w:spacing w:after="0" w:line="17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4"/>
          <w:szCs w:val="14"/>
          <w:color w:val="auto"/>
        </w:rPr>
        <w:t>In April 2020, the Board approved the Esperion Therapeutics, Inc. 2020 Employee Stock Purchase Plan (as amended, the "ESPP"), which was approved by the Company's stockholders in May 2020 and was subsequently amended by a first amendment to the ESPP adopted by the Board in July 2020. The ESPP allows eligible employees to authorize payroll deductions of up to 10% of their base salary or wages up to $25,000 annually to be applied toward the purchase of shares of Common Stock on the last trading day of the offering period. Participating employees will purchase shares of Common Stock at a discount of up to 15% on the lesser of the closing price of Common Stock on the NASDAQ Global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During the three months ended March 31, 2025, the Company recognized $0.1 million of stock compensation expense related to the ESPP. During the three months ended March 31, 2024, the Company recognized no stock compensation expense related to the ESPP. In April 2024, the Board approved a second amendment to the ESPP, which was approved by the Company's stockholders in May 2024, which increased the number of shares of Common Stock reserved for future issuance under the ESPP by an additional 6,175,000 shares. As of March 31, 2025, there have been 956,635 shares issued and 6,043,365 shares reserved for future issuance under the ESPP.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2017 Inducement Equity Plan</w:t>
      </w:r>
    </w:p>
    <w:p>
      <w:pPr>
        <w:spacing w:after="0" w:line="1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In May 2017, the Board approved the Esperion Therapeutics, Inc. 2017 Inducement Equity Plan (as amended in November 2019 and August 2023, the "2017 Plan"). The number of shares of Common Stock available for awards under the 2017 Plan is 2,650,000, with any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2017 Plan added back to the shares of Common Stock available for issuance under the 2017 Plan. The 2017 Plan provides for the granting of stock options, stock appreciation rights, restricted stock awards, restricted stock units ("RSUs"), unrestricted stock awards and dividend equivalent rights.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activity relating to the Company’s options to purchase Common Stock for the three months ended March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240" w:type="dxa"/>
            <w:vAlign w:val="bottom"/>
          </w:tcPr>
          <w:p>
            <w:pPr>
              <w:spacing w:after="0"/>
              <w:rPr>
                <w:sz w:val="9"/>
                <w:szCs w:val="9"/>
                <w:color w:val="auto"/>
              </w:rPr>
            </w:pPr>
          </w:p>
        </w:tc>
        <w:tc>
          <w:tcPr>
            <w:tcW w:w="1440" w:type="dxa"/>
            <w:vAlign w:val="bottom"/>
            <w:vMerge w:val="restart"/>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5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Remaining Contractual</w:t>
            </w:r>
          </w:p>
        </w:tc>
        <w:tc>
          <w:tcPr>
            <w:tcW w:w="100" w:type="dxa"/>
            <w:vAlign w:val="bottom"/>
          </w:tcPr>
          <w:p>
            <w:pPr>
              <w:spacing w:after="0"/>
              <w:rPr>
                <w:sz w:val="9"/>
                <w:szCs w:val="9"/>
                <w:color w:val="auto"/>
              </w:rPr>
            </w:pPr>
          </w:p>
        </w:tc>
        <w:tc>
          <w:tcPr>
            <w:tcW w:w="1340" w:type="dxa"/>
            <w:vAlign w:val="bottom"/>
            <w:vMerge w:val="restart"/>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Term (Years)</w:t>
            </w:r>
          </w:p>
        </w:tc>
        <w:tc>
          <w:tcPr>
            <w:tcW w:w="1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8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5,177,511</w:t>
            </w:r>
          </w:p>
        </w:tc>
        <w:tc>
          <w:tcPr>
            <w:tcW w:w="3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0" w:type="dxa"/>
            <w:vAlign w:val="bottom"/>
          </w:tcPr>
          <w:p>
            <w:pPr>
              <w:spacing w:after="0"/>
              <w:rPr>
                <w:sz w:val="1"/>
                <w:szCs w:val="1"/>
                <w:color w:val="auto"/>
              </w:rPr>
            </w:pPr>
          </w:p>
        </w:tc>
      </w:tr>
      <w:tr>
        <w:trPr>
          <w:trHeight w:val="180"/>
        </w:trPr>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1,762,000</w:t>
            </w:r>
          </w:p>
        </w:tc>
        <w:tc>
          <w:tcPr>
            <w:tcW w:w="3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(49,596)</w:t>
            </w:r>
          </w:p>
        </w:tc>
        <w:tc>
          <w:tcPr>
            <w:tcW w:w="3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6,889,915</w:t>
            </w:r>
          </w:p>
        </w:tc>
        <w:tc>
          <w:tcPr>
            <w:tcW w:w="300" w:type="dxa"/>
            <w:vAlign w:val="bottom"/>
            <w:tcBorders>
              <w:bottom w:val="single" w:sz="8" w:color="CCEEFF"/>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Vested and expected to vest at March 31, 2025</w:t>
            </w:r>
          </w:p>
        </w:tc>
        <w:tc>
          <w:tcPr>
            <w:tcW w:w="14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6,889,915</w:t>
            </w:r>
          </w:p>
        </w:tc>
        <w:tc>
          <w:tcPr>
            <w:tcW w:w="300" w:type="dxa"/>
            <w:vAlign w:val="bottom"/>
            <w:gridSpan w:val="2"/>
          </w:tcPr>
          <w:p>
            <w:pPr>
              <w:jc w:val="right"/>
              <w:ind w:right="63"/>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2"/>
                <w:szCs w:val="12"/>
                <w:color w:val="auto"/>
              </w:rPr>
            </w:pPr>
          </w:p>
        </w:tc>
        <w:tc>
          <w:tcPr>
            <w:tcW w:w="14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7.92</w:t>
            </w:r>
          </w:p>
        </w:tc>
        <w:tc>
          <w:tcPr>
            <w:tcW w:w="80" w:type="dxa"/>
            <w:vAlign w:val="bottom"/>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March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2,823,592</w:t>
            </w:r>
          </w:p>
        </w:tc>
        <w:tc>
          <w:tcPr>
            <w:tcW w:w="300" w:type="dxa"/>
            <w:vAlign w:val="bottom"/>
            <w:tcBorders>
              <w:bottom w:val="single" w:sz="8" w:color="CCEEFF"/>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Stock-based compensation related to stock options was $0.8 million for the three months ended March 31, 2025, including less than $0.1 million that was capitalized into inventory, and $0.9 million for the three months ended March 31, 2024, including $0.1 million that was capitalized into inventory. As of March 31, 2025, there was $6.0 million of unrecognized stock-based compensation expense related to unvested options, which will be recognized over a weighted-average period of 2.8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Performance-Based Stock Options ("PBSOs")</w:t>
      </w:r>
    </w:p>
    <w:p>
      <w:pPr>
        <w:spacing w:after="0" w:line="1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2021, 2022, and 2023, the Company granted PBSOs from the 2013 Plan and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performance criteria was met in three months ended March 31,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activity relating to the Company’s PBSOs for the three months ended March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1440" w:type="dxa"/>
            <w:vAlign w:val="bottom"/>
            <w:vMerge w:val="restart"/>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10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152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Remaining Contractual</w:t>
            </w:r>
          </w:p>
        </w:tc>
        <w:tc>
          <w:tcPr>
            <w:tcW w:w="100" w:type="dxa"/>
            <w:vAlign w:val="bottom"/>
          </w:tcPr>
          <w:p>
            <w:pPr>
              <w:spacing w:after="0"/>
              <w:rPr>
                <w:sz w:val="10"/>
                <w:szCs w:val="10"/>
                <w:color w:val="auto"/>
              </w:rPr>
            </w:pPr>
          </w:p>
        </w:tc>
        <w:tc>
          <w:tcPr>
            <w:tcW w:w="1340" w:type="dxa"/>
            <w:vAlign w:val="bottom"/>
            <w:vMerge w:val="restart"/>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c>
          <w:tcPr>
            <w:tcW w:w="0" w:type="dxa"/>
            <w:vAlign w:val="bottom"/>
          </w:tcPr>
          <w:p>
            <w:pPr>
              <w:spacing w:after="0"/>
              <w:rPr>
                <w:sz w:val="1"/>
                <w:szCs w:val="1"/>
                <w:color w:val="auto"/>
              </w:rPr>
            </w:pPr>
          </w:p>
        </w:tc>
      </w:tr>
      <w:tr>
        <w:trPr>
          <w:trHeight w:val="154"/>
        </w:trPr>
        <w:tc>
          <w:tcPr>
            <w:tcW w:w="52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Term (Years)</w:t>
            </w:r>
          </w:p>
        </w:tc>
        <w:tc>
          <w:tcPr>
            <w:tcW w:w="1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24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8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632,950</w:t>
            </w:r>
          </w:p>
        </w:tc>
        <w:tc>
          <w:tcPr>
            <w:tcW w:w="1200" w:type="dxa"/>
            <w:vAlign w:val="bottom"/>
            <w:gridSpan w:val="2"/>
            <w:shd w:val="clear" w:color="auto" w:fill="CCEEFF"/>
          </w:tcPr>
          <w:p>
            <w:pPr>
              <w:jc w:val="right"/>
              <w:ind w:right="96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4.97</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80"/>
        </w:trPr>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96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96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gridSpan w:val="2"/>
          </w:tcPr>
          <w:p>
            <w:pPr>
              <w:jc w:val="right"/>
              <w:ind w:right="96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632,950</w:t>
            </w:r>
          </w:p>
        </w:tc>
        <w:tc>
          <w:tcPr>
            <w:tcW w:w="1200" w:type="dxa"/>
            <w:vAlign w:val="bottom"/>
            <w:tcBorders>
              <w:bottom w:val="single" w:sz="8" w:color="CCEEFF"/>
            </w:tcBorders>
            <w:gridSpan w:val="2"/>
            <w:shd w:val="clear" w:color="auto" w:fill="CCEEFF"/>
          </w:tcPr>
          <w:p>
            <w:pPr>
              <w:jc w:val="right"/>
              <w:ind w:right="96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4.97</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Vested and expected to vest at March 31, 2025</w:t>
            </w:r>
          </w:p>
        </w:tc>
        <w:tc>
          <w:tcPr>
            <w:tcW w:w="14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632,950</w:t>
            </w:r>
          </w:p>
        </w:tc>
        <w:tc>
          <w:tcPr>
            <w:tcW w:w="1200" w:type="dxa"/>
            <w:vAlign w:val="bottom"/>
            <w:gridSpan w:val="2"/>
          </w:tcPr>
          <w:p>
            <w:pPr>
              <w:jc w:val="right"/>
              <w:ind w:right="963"/>
              <w:spacing w:after="0" w:line="14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97"/>
              </w:rPr>
              <w:t>4.97</w:t>
            </w:r>
          </w:p>
        </w:tc>
        <w:tc>
          <w:tcPr>
            <w:tcW w:w="100" w:type="dxa"/>
            <w:vAlign w:val="bottom"/>
          </w:tcPr>
          <w:p>
            <w:pPr>
              <w:spacing w:after="0"/>
              <w:rPr>
                <w:sz w:val="12"/>
                <w:szCs w:val="12"/>
                <w:color w:val="auto"/>
              </w:rPr>
            </w:pPr>
          </w:p>
        </w:tc>
        <w:tc>
          <w:tcPr>
            <w:tcW w:w="14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5.98</w:t>
            </w:r>
          </w:p>
        </w:tc>
        <w:tc>
          <w:tcPr>
            <w:tcW w:w="80" w:type="dxa"/>
            <w:vAlign w:val="bottom"/>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March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632,950</w:t>
            </w:r>
          </w:p>
        </w:tc>
        <w:tc>
          <w:tcPr>
            <w:tcW w:w="1200" w:type="dxa"/>
            <w:vAlign w:val="bottom"/>
            <w:tcBorders>
              <w:bottom w:val="single" w:sz="8" w:color="CCEEFF"/>
            </w:tcBorders>
            <w:gridSpan w:val="2"/>
            <w:shd w:val="clear" w:color="auto" w:fill="CCEEFF"/>
          </w:tcPr>
          <w:p>
            <w:pPr>
              <w:jc w:val="right"/>
              <w:ind w:right="96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4.97</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There was no stock-based compensation related to PBSOs for the three months ended March 31, 2025. Stock-based compensation related to PBSOs for the three months ended March 31, 2024 was $0.5 million. As of March 31, 2025, there was no unrecognized stock-based compensation expense related to unvested PBSOs.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 ("RSUs")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activity relating to the Company’s RSUs for the three months ended March 31,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80" w:type="dxa"/>
            <w:vAlign w:val="bottom"/>
          </w:tcPr>
          <w:p>
            <w:pPr>
              <w:spacing w:after="0"/>
              <w:rPr>
                <w:sz w:val="11"/>
                <w:szCs w:val="11"/>
                <w:color w:val="auto"/>
              </w:rPr>
            </w:pPr>
          </w:p>
        </w:tc>
        <w:tc>
          <w:tcPr>
            <w:tcW w:w="1660" w:type="dxa"/>
            <w:vAlign w:val="bottom"/>
            <w:vMerge w:val="restart"/>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15"/>
        </w:trPr>
        <w:tc>
          <w:tcPr>
            <w:tcW w:w="77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jc w:val="center"/>
              <w:ind w:right="195"/>
              <w:spacing w:after="0" w:line="115" w:lineRule="exact"/>
              <w:rPr>
                <w:sz w:val="20"/>
                <w:szCs w:val="20"/>
                <w:color w:val="auto"/>
              </w:rPr>
            </w:pPr>
            <w:r>
              <w:rPr>
                <w:rFonts w:ascii="Times New Roman" w:cs="Times New Roman" w:eastAsia="Times New Roman" w:hAnsi="Times New Roman"/>
                <w:sz w:val="11"/>
                <w:szCs w:val="11"/>
                <w:b w:val="1"/>
                <w:bCs w:val="1"/>
                <w:color w:val="auto"/>
              </w:rPr>
              <w:t>Fair Value Per</w:t>
            </w:r>
          </w:p>
        </w:tc>
        <w:tc>
          <w:tcPr>
            <w:tcW w:w="0" w:type="dxa"/>
            <w:vAlign w:val="bottom"/>
          </w:tcPr>
          <w:p>
            <w:pPr>
              <w:spacing w:after="0"/>
              <w:rPr>
                <w:sz w:val="1"/>
                <w:szCs w:val="1"/>
                <w:color w:val="auto"/>
              </w:rPr>
            </w:pPr>
          </w:p>
        </w:tc>
      </w:tr>
      <w:tr>
        <w:trPr>
          <w:trHeight w:val="155"/>
        </w:trPr>
        <w:tc>
          <w:tcPr>
            <w:tcW w:w="778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RSUs</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Share</w:t>
            </w: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unvested December 31, 2024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4,447,074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80"/>
        </w:trPr>
        <w:tc>
          <w:tcPr>
            <w:tcW w:w="7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5,312,350</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(230,996)</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80"/>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(461,779)</w:t>
            </w:r>
          </w:p>
        </w:tc>
        <w:tc>
          <w:tcPr>
            <w:tcW w:w="340" w:type="dxa"/>
            <w:vAlign w:val="bottom"/>
            <w:tcBorders>
              <w:bottom w:val="single" w:sz="8" w:color="CCEEFF"/>
            </w:tcBorders>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unvested March 31,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9,066,649</w:t>
            </w:r>
          </w:p>
        </w:tc>
        <w:tc>
          <w:tcPr>
            <w:tcW w:w="34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Stock-based compensation related to RSUs was approximately $1.6 million for the three months ended March 31, 2025 including $0.1 million that was capitalized into inventory, and $1.6 million for the three months ended March 31, 2024, including $0.1 million that was capitalized into inventory. As of March 31, 2025, there was $17.2 million of unrecognized stock-based compensation expense related to unvested RSUs, which will be recognized over a weighted-average period of 3.0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Performance-based Restricted Stock Units ("PBRSUs")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Common Stock on the date of grant. The performance criteria was met in three months ended March 31, 2024.</w:t>
      </w:r>
    </w:p>
    <w:p>
      <w:pPr>
        <w:spacing w:after="0" w:line="14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There was no stock-based compensation related to PBRSUs for the three months ended March 31, 2025. Stock-based compensation related to PBRSUs was $0.2 million for the three months ended March 31, 2024, including less than $0.1 million that was capitalized into inventory. As of March 31, 2025, there was no unrecognized stock-based compensation expense related to unvested PBRSUs and no outstanding and unvested PBRSUs.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total stock-based compensation expense in each of the income statement line items for the three months ended March 31,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6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40" w:type="dxa"/>
            <w:vAlign w:val="bottom"/>
          </w:tcPr>
          <w:p>
            <w:pPr>
              <w:spacing w:after="0"/>
              <w:rPr>
                <w:sz w:val="12"/>
                <w:szCs w:val="12"/>
                <w:color w:val="auto"/>
              </w:rPr>
            </w:pPr>
          </w:p>
        </w:tc>
      </w:tr>
      <w:tr>
        <w:trPr>
          <w:trHeight w:val="169"/>
        </w:trPr>
        <w:tc>
          <w:tcPr>
            <w:tcW w:w="402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40" w:type="dxa"/>
            <w:vAlign w:val="bottom"/>
            <w:tcBorders>
              <w:bottom w:val="single" w:sz="8" w:color="auto"/>
            </w:tcBorders>
          </w:tcPr>
          <w:p>
            <w:pPr>
              <w:spacing w:after="0"/>
              <w:rPr>
                <w:sz w:val="14"/>
                <w:szCs w:val="14"/>
                <w:color w:val="auto"/>
              </w:rPr>
            </w:pPr>
          </w:p>
        </w:tc>
      </w:tr>
      <w:tr>
        <w:trPr>
          <w:trHeight w:val="154"/>
        </w:trPr>
        <w:tc>
          <w:tcPr>
            <w:tcW w:w="40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r>
      <w:tr>
        <w:trPr>
          <w:trHeight w:val="18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2,331</w:t>
            </w: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 compensation expense</w:t>
            </w:r>
          </w:p>
        </w:tc>
        <w:tc>
          <w:tcPr>
            <w:tcW w:w="1340" w:type="dxa"/>
            <w:vAlign w:val="bottom"/>
            <w:tcBorders>
              <w:bottom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Income Taxes</w:t>
      </w:r>
    </w:p>
    <w:p>
      <w:pPr>
        <w:spacing w:after="0" w:line="1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There was no provision for income taxes for the three months ended March 31, 2025 and 2024, because the Company has incurred annual operating losses since inception. At March 31, 2025, the Company continues to conclude that it is not more likely than not that the Company will realize the benefit of its deferred tax assets due to its history of losses. Accordingly, a full valuation allowance has been applied against the net deferred tax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Segment Reporting</w:t>
      </w:r>
    </w:p>
    <w:p>
      <w:pPr>
        <w:spacing w:after="0" w:line="19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The Company has one reportable segment. The majority of the Company's business consists of researching, developing and commercializing therapies for the treatment of patients with elevated LDL-C. The segment derives net product sales through</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4"/>
          <w:szCs w:val="14"/>
          <w:color w:val="auto"/>
        </w:rPr>
        <w:t>sale of its NEXLETOL and NEXLIZET tablets to customers in the United States and through collaboration agreements with other third party companies to develop, manufacture and commercialize its products outside the United States. Net product sales were $34.9 million and $24.8 million for the three months ended March 31, 2025 and 2024, respectively. Collaboration revenue, which includes milestone payments, royalty revenues and sales of the Company's tablets to its collaboration partners, were $30.1 million and $113.0 million for the three months ended March 31, 2025 and 2024, respectively. During the three months ended March 31, 2025, collaboration revenue was primarily derived in Europe from the Company's partner DSE. During the year ended December 31, 2024, collaboration revenue was primarily derived in Europe and Japan from the Company's partners DSE and Otsuka. The Company manages the business activities on a consolidated basis. The accounting policies of the segment are the same as those described in Note 2 “Summary of Significant Accounting Policies."</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chief operating decision maker is the Chief Executive Officer, or CODM. The CODM assesses the performance of the Company and decides how to allocate resources based on revenues and net (loss) income, which is reported on the statements of operations. The chief operating decision maker also assesses performance by reviewing net cash (used in) provided by operating expenses, which is reported on the statements of cash flows. The measure of segment assets is reported on the balance sheets as total assets. The chief operating decision maker also reviews cash and cash equivalents. A significant component of the CODM's decision-making process is to ensure a balanced investment in research and development, as well as commercial activities to drive near-term success and sustain for the long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Stockholders' Deficit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Underwriting Agreement</w:t>
      </w:r>
    </w:p>
    <w:p>
      <w:pPr>
        <w:spacing w:after="0" w:line="19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On January 18, 2024, the Company entered into an underwriting agreement (the "Underwriting Agreement") with Jefferies LLC ("Jefferies"), as representative of the underwriters (the "Underwriters"), related to an underwritten public offering (the "January 2024 Offering") of 56,700,000 shares of Common Stock of the Company, at a purchase price to the public of $1.50 per share. The Underwriters were also granted a 30-day option to purchase up to an additional 8,505,000 shares of Common Stock, at the public offering price. On January 19, 2024, Jefferies gave notice to the Company of its election to exercise the option to purchase additional shares, in full. Giving effect to the exercise of Underwriters' option, the January 2024 Offering closed on January 23, 2024, with proceeds to the Company of approximately $90.7 million, after deducting the underwriting discount and estimated offering expenses of $7.1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w:t>
      </w:r>
    </w:p>
    <w:p>
      <w:pPr>
        <w:spacing w:after="0" w:line="19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4"/>
          <w:szCs w:val="14"/>
          <w:color w:val="auto"/>
        </w:rPr>
        <w:t>In connection with an underwriting agreement with H.C. Wainwright &amp; Co., LLC ("Wainwright") on December 2, 2021, (the "December 2021 Offering") the Company issued warrants to purchase 36,964,286 shares of Common Stock at an exercise price of $9.00 and an expiration date of December 7, 2023. The warrants were recorded at fair value of $61.9 million to additional-paid-in-capital in accordance with ASC 815-10 based upon the allocation of the proceeds between the common shares issued with the December 2021 Offering and the warrants. On December 7, 2023, 27,940,074 of these warrants expired. The remaining 9,024,212 warrants were amended as described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Registered Direct Offering and Warrant Amendment</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On March 19, 2023, the Company entered into a purchase agreement (the "2023 Purchase Agreement") with the Purchasers named therein (the "Purchasers") pursuant to which the Company agreed to issue and sell, in a registered direct offering (the "Registered Direct Offering"), 12,205,000 shares of Common Stock, pre-funded warrants ("Pre-Funded Warrants") to purchase up to an aggregate of 20,965,747 shares of Common Stock in lieu of shares of Common Stock, and warrants ("Warrants") to purchase up to 33,170,747 shares of Common Stock. The combined purchase price of each share of Common Stock and accompanying Warrant is $1.675 per share. The Warrants expire on September 22, 2026 and have an exercise price of $1.55. The purchase price of each Pre-Funded Warrant is $1.674 (equal to the combined purchase price per share of Common Stock and accompanying Warrant, minus $0.001). The 2023 Purchase Agreement contains customary representations, warranties, covenants and indemnification rights and obligations of the Company and the Purchasers. The Registered Direct Offering closed on March 22, 2023. The Warrants and Pre-Funded Warrants were recorded at fair value of $22.8 million to additional-paid-in-capital in accordance with ASC 815-10 based upon the allocation of the proceeds between the shares of Common Stock issued with the Registered Direct Offering and the Warrants and Pre-Funded Warrants. The Company estimated the fair value of the Warrants using a Black-Scholes option-pricing model, which is based, in part, upon subjective assumptions including but not limited to stock price volatility, the expected life of the warrant, the risk-free interest rate and the fair value of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remaining contractual term. The Company estimated the fair value of the Pre-Funded Warrants based on the market price of Common Stock at issuance.</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 connection with the Registered Direct Offering, the Company amended, pursuant to Warrant Amendment Agreements, certain existing warrants to purchase up to an aggregate of 9,024,212 shares of Common Stock that were previously issued in December 2021 at an exercise price of $9.00 per share and had an expiration date of December 7, 2023, effective upon the closing of the Registered Direct Offering, such that the amended warrants have a reduced exercise price of $1.55 per share and expire three and one half years following the closing of the Registered Direct Offering, or September 22, 2026, for additional consideration of $0.125 per amended warrant. Based on the change in the fair value of the amended warrants, the Company recorded issuance costs to additional paid-in capital of $2.9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received gross proceeds of approximately $55.5 million from the Registered Direct Offering, before deducting placement agent fees and related offering expenses. The net proceeds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from the Registered Direct Offering, after deducting the placement agent fees and expenses and the Company’s estimated offering expenses of $4.2 million, were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$51.3 million. In addition, the Company received approximately $1.2 million as the gross consideration in connection with the Warrant Amendment Agreements. The net proceeds of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Amendment Agreements after deducting placement fees of $0.1 million were approximately $1.1 million.</w:t>
      </w:r>
    </w:p>
    <w:p>
      <w:pPr>
        <w:spacing w:after="0" w:line="175"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4"/>
          <w:szCs w:val="14"/>
          <w:color w:val="auto"/>
        </w:rPr>
        <w:t>As of March 31, 2025, no Pre-Funded Warrants were outstanding. During the three months ended March 31, 2025 no warrants were exercised. During the three months ended March 31, 2024, 4,000,000 warrants were exercised. The following table summarizes the warrants outstanding for the Company as of March 31, 2025 and December 31, 2024:</w:t>
      </w:r>
    </w:p>
    <w:tbl>
      <w:tblPr>
        <w:tblLayout w:type="fixed"/>
        <w:tblInd w:w="360" w:type="dxa"/>
        <w:tblCellMar>
          <w:top w:w="0" w:type="dxa"/>
          <w:left w:w="0" w:type="dxa"/>
          <w:bottom w:w="0" w:type="dxa"/>
          <w:right w:w="0" w:type="dxa"/>
        </w:tblCellMar>
      </w:tblPr>
      <w:tr>
        <w:trPr>
          <w:trHeight w:val="145"/>
        </w:trPr>
        <w:tc>
          <w:tcPr>
            <w:tcW w:w="5740" w:type="dxa"/>
            <w:vAlign w:val="bottom"/>
          </w:tcPr>
          <w:p>
            <w:pPr>
              <w:spacing w:after="0"/>
              <w:rPr>
                <w:sz w:val="12"/>
                <w:szCs w:val="12"/>
                <w:color w:val="auto"/>
              </w:rPr>
            </w:pPr>
          </w:p>
        </w:tc>
        <w:tc>
          <w:tcPr>
            <w:tcW w:w="1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52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ind w:right="169"/>
              <w:spacing w:after="0" w:line="14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1"/>
        </w:trPr>
        <w:tc>
          <w:tcPr>
            <w:tcW w:w="57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1"/>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 outstanding from Warrant Amendment Agreements, expiring September 22, 2026</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6,071,429</w:t>
            </w:r>
          </w:p>
        </w:tc>
        <w:tc>
          <w:tcPr>
            <w:tcW w:w="14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6,071,429</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Warrants outstanding from 2023 Purchase Agreement, expiring September 22, 2026</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14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warrants outstanding</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26,071,429</w:t>
            </w:r>
          </w:p>
        </w:tc>
        <w:tc>
          <w:tcPr>
            <w:tcW w:w="1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26,071,429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Net (Loss) Income Per Common Share</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Basic net (loss) income per share is calculated by dividing net (loss) income by the weighted-average number of common shares outstanding during the period, without consideration for common stock equivalents. Diluted net (loss) income per share is computed by dividing net (loss) income by the weighted-average number of common stock equivalents outstanding for the period, including shares that potentially could be dilutive if they were exercised or vested during the period, determined using the treasury-stock method and the if-converted method for shares issuable upon conversion of convertible notes.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income per share when their effect is dilutive.</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5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61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the calculation of basic and diluted net (loss) income per share:</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66"/>
        </w:trPr>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80" w:type="dxa"/>
            <w:vAlign w:val="bottom"/>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tcPr>
          <w:p>
            <w:pPr>
              <w:spacing w:after="0"/>
              <w:rPr>
                <w:sz w:val="24"/>
                <w:szCs w:val="24"/>
                <w:color w:val="auto"/>
              </w:rPr>
            </w:pPr>
          </w:p>
        </w:tc>
      </w:tr>
      <w:tr>
        <w:trPr>
          <w:trHeight w:val="186"/>
        </w:trPr>
        <w:tc>
          <w:tcPr>
            <w:tcW w:w="720" w:type="dxa"/>
            <w:vAlign w:val="bottom"/>
          </w:tcPr>
          <w:p>
            <w:pPr>
              <w:spacing w:after="0"/>
              <w:rPr>
                <w:sz w:val="16"/>
                <w:szCs w:val="16"/>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520" w:type="dxa"/>
            <w:vAlign w:val="bottom"/>
          </w:tcPr>
          <w:p>
            <w:pPr>
              <w:spacing w:after="0"/>
              <w:rPr>
                <w:sz w:val="16"/>
                <w:szCs w:val="16"/>
                <w:color w:val="auto"/>
              </w:rPr>
            </w:pPr>
          </w:p>
        </w:tc>
        <w:tc>
          <w:tcPr>
            <w:tcW w:w="1640" w:type="dxa"/>
            <w:vAlign w:val="bottom"/>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1"/>
        </w:trPr>
        <w:tc>
          <w:tcPr>
            <w:tcW w:w="720" w:type="dxa"/>
            <w:vAlign w:val="bottom"/>
          </w:tcPr>
          <w:p>
            <w:pPr>
              <w:spacing w:after="0"/>
              <w:rPr>
                <w:sz w:val="15"/>
                <w:szCs w:val="15"/>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 basic</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(40,455)</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61,022</w:t>
            </w:r>
          </w:p>
        </w:tc>
      </w:tr>
      <w:tr>
        <w:trPr>
          <w:trHeight w:val="180"/>
        </w:trPr>
        <w:tc>
          <w:tcPr>
            <w:tcW w:w="720" w:type="dxa"/>
            <w:vAlign w:val="bottom"/>
          </w:tcPr>
          <w:p>
            <w:pPr>
              <w:spacing w:after="0"/>
              <w:rPr>
                <w:sz w:val="15"/>
                <w:szCs w:val="15"/>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Adjustments for dilutive earnings per share:</w:t>
            </w: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0"/>
        </w:trPr>
        <w:tc>
          <w:tcPr>
            <w:tcW w:w="720" w:type="dxa"/>
            <w:vAlign w:val="bottom"/>
          </w:tcPr>
          <w:p>
            <w:pPr>
              <w:spacing w:after="0"/>
              <w:rPr>
                <w:sz w:val="15"/>
                <w:szCs w:val="15"/>
                <w:color w:val="auto"/>
              </w:rPr>
            </w:pPr>
          </w:p>
        </w:tc>
        <w:tc>
          <w:tcPr>
            <w:tcW w:w="5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 for convertible notes, less amortization of debt issuance costs</w:t>
            </w:r>
          </w:p>
        </w:tc>
        <w:tc>
          <w:tcPr>
            <w:tcW w:w="5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w:t>
            </w:r>
          </w:p>
        </w:tc>
      </w:tr>
      <w:tr>
        <w:trPr>
          <w:trHeight w:val="171"/>
        </w:trPr>
        <w:tc>
          <w:tcPr>
            <w:tcW w:w="720" w:type="dxa"/>
            <w:vAlign w:val="bottom"/>
          </w:tcPr>
          <w:p>
            <w:pPr>
              <w:spacing w:after="0"/>
              <w:rPr>
                <w:sz w:val="14"/>
                <w:szCs w:val="1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income - diluted</w:t>
            </w:r>
          </w:p>
        </w:tc>
        <w:tc>
          <w:tcPr>
            <w:tcW w:w="520" w:type="dxa"/>
            <w:vAlign w:val="bottom"/>
            <w:tcBorders>
              <w:top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(40,455)</w:t>
            </w:r>
          </w:p>
        </w:tc>
        <w:tc>
          <w:tcPr>
            <w:tcW w:w="140" w:type="dxa"/>
            <w:vAlign w:val="bottom"/>
          </w:tcPr>
          <w:p>
            <w:pPr>
              <w:spacing w:after="0"/>
              <w:rPr>
                <w:sz w:val="14"/>
                <w:szCs w:val="14"/>
                <w:color w:val="auto"/>
              </w:rPr>
            </w:pPr>
          </w:p>
        </w:tc>
        <w:tc>
          <w:tcPr>
            <w:tcW w:w="60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63,672</w:t>
            </w:r>
          </w:p>
        </w:tc>
      </w:tr>
      <w:tr>
        <w:trPr>
          <w:trHeight w:val="212"/>
        </w:trPr>
        <w:tc>
          <w:tcPr>
            <w:tcW w:w="720" w:type="dxa"/>
            <w:vAlign w:val="bottom"/>
          </w:tcPr>
          <w:p>
            <w:pPr>
              <w:spacing w:after="0"/>
              <w:rPr>
                <w:sz w:val="18"/>
                <w:szCs w:val="18"/>
                <w:color w:val="auto"/>
              </w:rPr>
            </w:pPr>
          </w:p>
        </w:tc>
        <w:tc>
          <w:tcPr>
            <w:tcW w:w="536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80"/>
        </w:trPr>
        <w:tc>
          <w:tcPr>
            <w:tcW w:w="720" w:type="dxa"/>
            <w:vAlign w:val="bottom"/>
          </w:tcPr>
          <w:p>
            <w:pPr>
              <w:spacing w:after="0"/>
              <w:rPr>
                <w:sz w:val="15"/>
                <w:szCs w:val="15"/>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shares - basic</w:t>
            </w: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196,127,948</w:t>
            </w: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169,258,564</w:t>
            </w:r>
          </w:p>
        </w:tc>
      </w:tr>
      <w:tr>
        <w:trPr>
          <w:trHeight w:val="20"/>
        </w:trPr>
        <w:tc>
          <w:tcPr>
            <w:tcW w:w="720" w:type="dxa"/>
            <w:vAlign w:val="bottom"/>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42"/>
        </w:trPr>
        <w:tc>
          <w:tcPr>
            <w:tcW w:w="720" w:type="dxa"/>
            <w:vAlign w:val="bottom"/>
          </w:tcPr>
          <w:p>
            <w:pPr>
              <w:spacing w:after="0"/>
              <w:rPr>
                <w:sz w:val="12"/>
                <w:szCs w:val="12"/>
                <w:color w:val="auto"/>
              </w:rPr>
            </w:pPr>
          </w:p>
        </w:tc>
        <w:tc>
          <w:tcPr>
            <w:tcW w:w="53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Effect of dilutive common stock equivalents:</w:t>
            </w:r>
          </w:p>
        </w:tc>
        <w:tc>
          <w:tcPr>
            <w:tcW w:w="5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180"/>
        </w:trPr>
        <w:tc>
          <w:tcPr>
            <w:tcW w:w="72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Warrants</w:t>
            </w:r>
          </w:p>
        </w:tc>
        <w:tc>
          <w:tcPr>
            <w:tcW w:w="520" w:type="dxa"/>
            <w:vAlign w:val="bottom"/>
          </w:tcPr>
          <w:p>
            <w:pPr>
              <w:spacing w:after="0"/>
              <w:rPr>
                <w:sz w:val="15"/>
                <w:szCs w:val="15"/>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11,713,131</w:t>
            </w:r>
          </w:p>
        </w:tc>
      </w:tr>
      <w:tr>
        <w:trPr>
          <w:trHeight w:val="180"/>
        </w:trPr>
        <w:tc>
          <w:tcPr>
            <w:tcW w:w="720" w:type="dxa"/>
            <w:vAlign w:val="bottom"/>
          </w:tcPr>
          <w:p>
            <w:pPr>
              <w:spacing w:after="0"/>
              <w:rPr>
                <w:sz w:val="15"/>
                <w:szCs w:val="15"/>
                <w:color w:val="auto"/>
              </w:rPr>
            </w:pPr>
          </w:p>
        </w:tc>
        <w:tc>
          <w:tcPr>
            <w:tcW w:w="5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 issuable upon conversion of convertible notes</w:t>
            </w:r>
          </w:p>
        </w:tc>
        <w:tc>
          <w:tcPr>
            <w:tcW w:w="5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8,007,010</w:t>
            </w:r>
          </w:p>
        </w:tc>
      </w:tr>
      <w:tr>
        <w:trPr>
          <w:trHeight w:val="180"/>
        </w:trPr>
        <w:tc>
          <w:tcPr>
            <w:tcW w:w="72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Common shares under option</w:t>
            </w:r>
          </w:p>
        </w:tc>
        <w:tc>
          <w:tcPr>
            <w:tcW w:w="520" w:type="dxa"/>
            <w:vAlign w:val="bottom"/>
          </w:tcPr>
          <w:p>
            <w:pPr>
              <w:spacing w:after="0"/>
              <w:rPr>
                <w:sz w:val="15"/>
                <w:szCs w:val="15"/>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54,217</w:t>
            </w:r>
          </w:p>
        </w:tc>
      </w:tr>
      <w:tr>
        <w:trPr>
          <w:trHeight w:val="180"/>
        </w:trPr>
        <w:tc>
          <w:tcPr>
            <w:tcW w:w="720" w:type="dxa"/>
            <w:vAlign w:val="bottom"/>
          </w:tcPr>
          <w:p>
            <w:pPr>
              <w:spacing w:after="0"/>
              <w:rPr>
                <w:sz w:val="15"/>
                <w:szCs w:val="15"/>
                <w:color w:val="auto"/>
              </w:rPr>
            </w:pPr>
          </w:p>
        </w:tc>
        <w:tc>
          <w:tcPr>
            <w:tcW w:w="5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shares under PBSOs</w:t>
            </w:r>
          </w:p>
        </w:tc>
        <w:tc>
          <w:tcPr>
            <w:tcW w:w="5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55,678</w:t>
            </w:r>
          </w:p>
        </w:tc>
      </w:tr>
      <w:tr>
        <w:trPr>
          <w:trHeight w:val="180"/>
        </w:trPr>
        <w:tc>
          <w:tcPr>
            <w:tcW w:w="72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Unvested RSUs</w:t>
            </w:r>
          </w:p>
        </w:tc>
        <w:tc>
          <w:tcPr>
            <w:tcW w:w="520" w:type="dxa"/>
            <w:vAlign w:val="bottom"/>
          </w:tcPr>
          <w:p>
            <w:pPr>
              <w:spacing w:after="0"/>
              <w:rPr>
                <w:sz w:val="15"/>
                <w:szCs w:val="15"/>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478,229</w:t>
            </w:r>
          </w:p>
        </w:tc>
      </w:tr>
      <w:tr>
        <w:trPr>
          <w:trHeight w:val="180"/>
        </w:trPr>
        <w:tc>
          <w:tcPr>
            <w:tcW w:w="720" w:type="dxa"/>
            <w:vAlign w:val="bottom"/>
          </w:tcPr>
          <w:p>
            <w:pPr>
              <w:spacing w:after="0"/>
              <w:rPr>
                <w:sz w:val="15"/>
                <w:szCs w:val="15"/>
                <w:color w:val="auto"/>
              </w:rPr>
            </w:pPr>
          </w:p>
        </w:tc>
        <w:tc>
          <w:tcPr>
            <w:tcW w:w="5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Unvested PBRSUs</w:t>
            </w:r>
          </w:p>
        </w:tc>
        <w:tc>
          <w:tcPr>
            <w:tcW w:w="5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74,422</w:t>
            </w:r>
          </w:p>
        </w:tc>
      </w:tr>
      <w:tr>
        <w:trPr>
          <w:trHeight w:val="171"/>
        </w:trPr>
        <w:tc>
          <w:tcPr>
            <w:tcW w:w="720" w:type="dxa"/>
            <w:vAlign w:val="bottom"/>
          </w:tcPr>
          <w:p>
            <w:pPr>
              <w:spacing w:after="0"/>
              <w:rPr>
                <w:sz w:val="14"/>
                <w:szCs w:val="14"/>
                <w:color w:val="auto"/>
              </w:rPr>
            </w:pPr>
          </w:p>
        </w:tc>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Dilutive common stock equivalents</w:t>
            </w:r>
          </w:p>
        </w:tc>
        <w:tc>
          <w:tcPr>
            <w:tcW w:w="52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20,382,687</w:t>
            </w:r>
          </w:p>
        </w:tc>
      </w:tr>
      <w:tr>
        <w:trPr>
          <w:trHeight w:val="171"/>
        </w:trPr>
        <w:tc>
          <w:tcPr>
            <w:tcW w:w="720" w:type="dxa"/>
            <w:vAlign w:val="bottom"/>
          </w:tcPr>
          <w:p>
            <w:pPr>
              <w:spacing w:after="0"/>
              <w:rPr>
                <w:sz w:val="14"/>
                <w:szCs w:val="14"/>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 diluted</w:t>
            </w:r>
          </w:p>
        </w:tc>
        <w:tc>
          <w:tcPr>
            <w:tcW w:w="5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196,127,948</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189,641,251</w:t>
            </w:r>
          </w:p>
        </w:tc>
      </w:tr>
      <w:tr>
        <w:trPr>
          <w:trHeight w:val="212"/>
        </w:trPr>
        <w:tc>
          <w:tcPr>
            <w:tcW w:w="720" w:type="dxa"/>
            <w:vAlign w:val="bottom"/>
          </w:tcPr>
          <w:p>
            <w:pPr>
              <w:spacing w:after="0"/>
              <w:rPr>
                <w:sz w:val="18"/>
                <w:szCs w:val="18"/>
                <w:color w:val="auto"/>
              </w:rPr>
            </w:pPr>
          </w:p>
        </w:tc>
        <w:tc>
          <w:tcPr>
            <w:tcW w:w="53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80"/>
        </w:trPr>
        <w:tc>
          <w:tcPr>
            <w:tcW w:w="720" w:type="dxa"/>
            <w:vAlign w:val="bottom"/>
          </w:tcPr>
          <w:p>
            <w:pPr>
              <w:spacing w:after="0"/>
              <w:rPr>
                <w:sz w:val="15"/>
                <w:szCs w:val="15"/>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per common share – basic</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r>
      <w:tr>
        <w:trPr>
          <w:trHeight w:val="184"/>
        </w:trPr>
        <w:tc>
          <w:tcPr>
            <w:tcW w:w="720" w:type="dxa"/>
            <w:vAlign w:val="bottom"/>
          </w:tcPr>
          <w:p>
            <w:pPr>
              <w:spacing w:after="0"/>
              <w:rPr>
                <w:sz w:val="16"/>
                <w:szCs w:val="16"/>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income per common share – diluted</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40" w:type="dxa"/>
            <w:vAlign w:val="bottom"/>
          </w:tcPr>
          <w:p>
            <w:pPr>
              <w:spacing w:after="0"/>
              <w:rPr>
                <w:sz w:val="16"/>
                <w:szCs w:val="16"/>
                <w:color w:val="auto"/>
              </w:rPr>
            </w:pPr>
          </w:p>
        </w:tc>
        <w:tc>
          <w:tcPr>
            <w:tcW w:w="6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shares outstanding at the end of the respective periods presented below were excluded from the calculation of diluted net loss per share due to their anti-dilutive effect:</w:t>
      </w:r>
    </w:p>
    <w:p>
      <w:pPr>
        <w:spacing w:after="0" w:line="20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5" w:lineRule="exact"/>
        <w:rPr>
          <w:sz w:val="20"/>
          <w:szCs w:val="20"/>
          <w:color w:val="auto"/>
        </w:rPr>
      </w:pPr>
    </w:p>
    <w:tbl>
      <w:tblPr>
        <w:tblLayout w:type="fixed"/>
        <w:tblInd w:w="1640" w:type="dxa"/>
        <w:tblCellMar>
          <w:top w:w="0" w:type="dxa"/>
          <w:left w:w="0" w:type="dxa"/>
          <w:bottom w:w="0" w:type="dxa"/>
          <w:right w:w="0" w:type="dxa"/>
        </w:tblCellMar>
      </w:tblPr>
      <w:tr>
        <w:trPr>
          <w:trHeight w:val="154"/>
        </w:trPr>
        <w:tc>
          <w:tcPr>
            <w:tcW w:w="476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under option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6,889,915</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5,228,191</w:t>
            </w:r>
          </w:p>
        </w:tc>
      </w:tr>
      <w:tr>
        <w:trPr>
          <w:trHeight w:val="180"/>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Common shares under PBSOs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632,950</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433,950</w:t>
            </w:r>
          </w:p>
        </w:tc>
      </w:tr>
      <w:tr>
        <w:trPr>
          <w:trHeight w:val="18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RSUs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9,066,649</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2,204,617</w:t>
            </w:r>
          </w:p>
        </w:tc>
      </w:tr>
      <w:tr>
        <w:trPr>
          <w:trHeight w:val="180"/>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Shares issuable related to the ESPP</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129,624</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issuable upon conversion of convertible notes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34,338,912</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Warrants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26,071,429</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potential dilutive shares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77,129,479</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7,866,758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60"/>
          </w:cols>
          <w:pgMar w:left="300" w:top="116" w:right="10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2024 and other filings that we make with the Securities and Exchange Commission (the "SEC").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Forward-Looking Statements</w:t>
      </w:r>
    </w:p>
    <w:p>
      <w:pPr>
        <w:spacing w:after="0" w:line="17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i w:val="1"/>
          <w:iCs w:val="1"/>
          <w:color w:val="auto"/>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marketing strategy, clinical development and commercialization plans, or our future financial performance and involve known and unknown risks, uncertainties and other factors that may cause our actual results, performance or achievements, including in relation to the clinical development, commercialization plans, timing, designs and plans for the CLEAR Outcomes study and its results, plans for potential future product candidates and expectations regarding future transactions to further improve our balance sheet to be materially different from any future results, performance or achievements, including in relation to the clinical development, commercialization plans, net sales profitability, growth of our commercial products, clinical activities, commercial development plans, the outcomes and anticipated benefits of legal proceedings and settlements, expressed or implied by these forward-looking statements.</w:t>
      </w:r>
    </w:p>
    <w:p>
      <w:pPr>
        <w:spacing w:after="0" w:line="17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4"/>
          <w:szCs w:val="14"/>
          <w:i w:val="1"/>
          <w:iCs w:val="1"/>
          <w:color w:val="auto"/>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42"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i w:val="1"/>
          <w:iCs w:val="1"/>
          <w:color w:val="auto"/>
        </w:rPr>
        <w:t>The forward-looking statements in this Quarterly Report on Form 10-Q represent our views as of the date of this Quarterly Report on Form 10-Q. Except as required by law, we undertake no obligation to update any forward-looking statements to reflect events or circumstances after the date of such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Unless the context requires otherwise, we use the terms "Esperion," “we,” “us,” “our,” or the "Company” in this Quarterly Report on Form 10-Q to refer to Esperion Therapeutics,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Overview</w:t>
      </w:r>
    </w:p>
    <w:p>
      <w:pPr>
        <w:spacing w:after="0" w:line="17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We are a commercial stage biopharmaceutical company currently focused on bringing new medicines to patients that address unmet medical needs. We have developed and are commercializing U.S. Food and Drug Administration, or FDA, approved oral, once-daily, non-statin medicines for patients who are at risk for cardiovascular disease, or CVD, and are struggling with elevated low-density lipoprotein cholesterol, or LDL-C. Through commercial execution, international partnerships and collaborations, and advancement of our pre-clinical pipeline, we continue to evolve into a leading global biopharmaceutical company.</w:t>
      </w:r>
    </w:p>
    <w:p>
      <w:pPr>
        <w:spacing w:after="0" w:line="16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Our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CVD or at high risk for a CVD event but without established CVD, and to reduce LDL-C in adults with primary hyperlipidemia. Our products were approved by the FDA, the European Commission, or EC, and Swiss Agency for Therapeutic Products, or Swissmedic in 2020. The FDA approved expanded indications for NEXLETOL and NEXLIZET tablets in March 2024. The EC approved expanded indications for NILEMDO® (bempedoic acid) tablets and NUSTENDI (bempedoic acid and ezetimibe) tablets in May 2024. In addition, Otsuka Pharmaceutical Co., Ltd., or Otsuka, our Japanese collaborator, announced that the primary endpoint of LDL-C reduction from baseline at Week 12 was achieved with statistical significance in the Phase 3 clinical trial in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Japan for bempedoic acid as a treatment for hypercholesterolemia. Otsuka filed a New Drug Application, or NDA, in Japan in November 2024, with expected approval and National Health Insurance, or NHI, pricing in the second half of 2025. We filed supplemental NDAs for product approvals in Canada in November 2024. Our collaboration partners filed in Israel in March 2025 and plan to file in Australia mid 2025.</w:t>
      </w:r>
    </w:p>
    <w:p>
      <w:pPr>
        <w:spacing w:after="0" w:line="1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We were incorporated in Delaware in January 2008, and commenced our operations in April 2008. Since our inception, we have focused substantially all of our efforts and financial resources on developing and commercializing bempedoic acid and the bempedoic acid / ezetimibe tablet. In February 2020, the FDA approved NEXLETOL and NEXLIZET. NEXLETOL was commercially available in the U.S. on March 30, 2020 and NEXLIZET was commercially available in the U.S. on June 4, 2020. While we began to generate revenue from the sale of our products in 2020, we have funded our operations to date primarily through proceeds from sales of preferred stock, convertible promissory notes and warrants, public offerings of common stock and warrants, the incurrence of indebtedness, through collaborations with third parties and revenue interest and royalty interest purchase agreements. We have incurred losses in each year since our inception.</w:t>
      </w:r>
    </w:p>
    <w:p>
      <w:pPr>
        <w:spacing w:after="0" w:line="13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We have never been profitable. Our net loss was $40.5 million for the three months ended March 31, 2025. Our net income was $61.0 million for the three months ended March 31, 2024, primarily related to the collaboration revenue recognized from the settlement agreement, or Settlement Agreement, with Daiichi Sankyo Europe GmbH, or DSE. Substantially all of our net losses resulted from costs incurred in connection with research and development programs and selling, general and administrative costs associated with our operations. We expect to incur expenses and operating losses for the near term future in connection with our ongoing activities, including, among others:</w:t>
      </w:r>
    </w:p>
    <w:p>
      <w:pPr>
        <w:spacing w:after="0" w:line="162" w:lineRule="exact"/>
        <w:rPr>
          <w:sz w:val="20"/>
          <w:szCs w:val="20"/>
          <w:color w:val="auto"/>
        </w:rPr>
      </w:pPr>
    </w:p>
    <w:p>
      <w:pPr>
        <w:ind w:left="1020" w:hanging="506"/>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commercializing NEXLETOL and NEXLIZET in the U.S.; and</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pursuing other research and development activities.</w:t>
      </w:r>
    </w:p>
    <w:p>
      <w:pPr>
        <w:spacing w:after="0" w:line="1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Overview</w:t>
      </w:r>
    </w:p>
    <w:p>
      <w:pPr>
        <w:spacing w:after="0" w:line="17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NEXLETOL is a first-in-class ATP Citrate Lyase, or ACLY, inhibitor that lowers LDL-C and cardiovascular risk by reducing cholesterol biosynthesis and up-regulating the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Cholesterol Lowering via Bempedoic acid, an ACL-Inhibiting Regimen (CLEAR) Outcomes trial in patients unwilling or unable to take statins and who had, or were at high risk for, CVD demonstrated on average a 20.0% placebo corrected LDL-C lowering, and a resulting 13% lower risk of major cardiovascular events versus placebo. NEXLETOL was approved by the FDA in February 2020 and received an expanded cardiovascular risk reduction indication from the FDA in March 2024.</w:t>
      </w:r>
    </w:p>
    <w:p>
      <w:pPr>
        <w:spacing w:after="0" w:line="153"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compared to placebo when added on to maximally tolerated statins. NEXLIZET was approved by the FDA in February 2020 and received an expanded cardiovascular risk reduction indication from the FDA in March 2024.</w:t>
      </w:r>
    </w:p>
    <w:p>
      <w:pPr>
        <w:spacing w:after="0" w:line="13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NILEMDO is a first-in-class ACLY inhibitor that lowers LDL-C and cardiovascular risk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 In May 2024, the EC approved an expanded indication for NILEMDO to reduce cardiovascular risk in patients with or at high risk for ASCVD.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 In May 2024, the EC approved an expanded indication for NUSTENDI to reduce cardiovascular risk in patients with or at high risk for ASCVD.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2025, we incurred $4.0 million in expenses related to ongoing clinical studies.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2024, we incurred $1.5 million in expenses related to ongoing clinical studies.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Operations Overview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sales,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 sales, net is related to our sales of NEXLETOL and NEXLIZET. NEXLETOL and NEXLIZET were commercially available in the U.S. on March 30, 2020 and June 4, 2020,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 revenue</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Collaboration revenue is related to our collaboration agreements with DSE, Otsuka, and Daiichi Sankyo Co. Ltd, or DS, and our other ex-U.S. collaboration partners. Collaboration revenue for the three months ended March 31, 2025 was primarily related to sales of bulk tablets under supply agreements and royalty revenue received from collaboration partners. Collaboration revenue for the three months ended March 31, 2024 was primarily related to the Settlement Agreement with DSE and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goods sold is related to our net product sales of NEXLETOL and NEXLIZET and our supply agreements with collaboration partners.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8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Our research and development expenses consist primarily of costs incurred in connection with the development of bempedoic acid and the bempedoic acid / ezetimibe combination tablet and any other product candidate we may choose to pursue, which include:</w:t>
      </w:r>
    </w:p>
    <w:p>
      <w:pPr>
        <w:spacing w:after="0" w:line="124" w:lineRule="exact"/>
        <w:rPr>
          <w:sz w:val="20"/>
          <w:szCs w:val="20"/>
          <w:color w:val="auto"/>
        </w:rPr>
      </w:pPr>
    </w:p>
    <w:p>
      <w:pPr>
        <w:ind w:left="1020" w:hanging="506"/>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under agreements with consultants, contract research organizations, or CROs, and investigative sites that conduct our preclinical and clinical studies;</w:t>
      </w:r>
    </w:p>
    <w:p>
      <w:pPr>
        <w:spacing w:after="0" w:line="178" w:lineRule="exact"/>
        <w:rPr>
          <w:rFonts w:ascii="Times New Roman" w:cs="Times New Roman" w:eastAsia="Times New Roman" w:hAnsi="Times New Roman"/>
          <w:sz w:val="14"/>
          <w:szCs w:val="14"/>
          <w:color w:val="auto"/>
        </w:rPr>
      </w:pPr>
    </w:p>
    <w:p>
      <w:pPr>
        <w:ind w:left="1020" w:right="100" w:hanging="506"/>
        <w:spacing w:after="0" w:line="287"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employee-related expenses, including salaries, benefits, stock-based compensation and travel expenses;</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allocated expenses for rent and maintenance of facilities, insurance and other supplies; and</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compliance with regulatory requirements.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expense research and development costs as incurred. To date, substantially all of our research and development work has been related to bempedoic acid and the bempedoic acid / ezetimibe combination tablet and our early-stage pipeline assets.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14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will continue to incur research and development expenses as they relate to other development programs or additional indications we choose to pursue such as the development of our next generation ACLY inhibitors. We expect research and development expenses to increase in 2025 as we begin our phase III pediatric trial and continue progressing our preclinical pipeline. We cannot determine with certainty the duration and completion costs associated with the ongoing or future clinical studies of bempedoic acid and the bempedoic acid / ezetimibe combination tablet or any other product candidate we may choose to pursue. The duration, costs and timing associated with the development of bempedoic acid and the bempedoic acid / ezetimibe combination tablet or any other product candidate will depend on a variety of factors, including uncertainties associated with the results of our clinical studies and our ability to obtain regulatory approval. For example, if a regulatory authority were to require us to conduct clinical studies beyond those that we currently anticipate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8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costs of programs necessary for the general conduct of our business, including costs associated with the commercialization of NEXLETOL and NEXLIZET, selling expenses, facility-related costs, communication expenses and professional fees for legal, patent prosecution, protection and review, consulting and accounting services.</w:t>
      </w:r>
    </w:p>
    <w:p>
      <w:pPr>
        <w:spacing w:after="0" w:line="130"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4"/>
          <w:szCs w:val="14"/>
          <w:color w:val="auto"/>
        </w:rPr>
        <w:t>We expect our selling, general and administrative expenses will be consistent in 2025 as it was in 2024 after the additional global regulatory approvals for new product indications in 2024 and the associated expanded commercialization initiatives for NEXLETOL and NEXLIZET and increases in our associated headcount to expand our sales team.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8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Interest expense is related to our royalty purchase agreement, or Royalty Purchase Agreement, with OCM IP Healthcare Portfolio LP, or OMERS, entered into on June 27, 2024, our $150.0 million term loan, or Loan, entered into on December 13, 2024, our Revenue Interest Purchase Agreement, or RIPA, with Oberland, an affiliate of Oberland Capital, and our convertible notes. Interest expense for the three months ended March 31, 2025 was related to our Royalty Purchase Agreement with OMERS, our Loan, and our convertible notes. Interest expense for the three months ended March 31, 2024 was related to our RIPA and our convertible notes.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8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Other income, net, primarily relates to interest income and the accretion or amortization of premiums and discounts earned on our cash and cash equivalents and also includes other income related to the sale of leased vehicles.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Significant Judgments and Estimates</w:t>
      </w:r>
    </w:p>
    <w:p>
      <w:pPr>
        <w:spacing w:after="0" w:line="17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is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including those related to our net product sales and royalty purchase agreement. We base our estimates on historical experience, known trends and events, contractual milestones and other various factors that are believed to be reasonable under the circumstances, the results of which form the basis for making judgments about the carrying values of</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and liabilities that are not readily apparent from other sources. Our actual results may differ from these estimates under different assumptions or conditions.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other material changes to the significant accounting policies previously disclosed in our Annual Report on Form 10-K for the fiscal year ended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2025 and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60" w:type="dxa"/>
            <w:vAlign w:val="bottom"/>
          </w:tcPr>
          <w:p>
            <w:pPr>
              <w:spacing w:after="0"/>
              <w:rPr>
                <w:sz w:val="13"/>
                <w:szCs w:val="13"/>
                <w:color w:val="auto"/>
              </w:rPr>
            </w:pPr>
          </w:p>
        </w:tc>
        <w:tc>
          <w:tcPr>
            <w:tcW w:w="234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4"/>
        </w:trPr>
        <w:tc>
          <w:tcPr>
            <w:tcW w:w="69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0"/>
        </w:trPr>
        <w:tc>
          <w:tcPr>
            <w:tcW w:w="6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20" w:type="dxa"/>
            <w:vAlign w:val="bottom"/>
            <w:gridSpan w:val="3"/>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(unaudited, in thousands)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sales, net</w:t>
            </w:r>
          </w:p>
        </w:tc>
        <w:tc>
          <w:tcPr>
            <w:tcW w:w="820" w:type="dxa"/>
            <w:vAlign w:val="bottom"/>
          </w:tcPr>
          <w:p>
            <w:pPr>
              <w:jc w:val="right"/>
              <w:ind w:right="67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34,913</w:t>
            </w:r>
          </w:p>
        </w:tc>
        <w:tc>
          <w:tcPr>
            <w:tcW w:w="100" w:type="dxa"/>
            <w:vAlign w:val="bottom"/>
          </w:tcPr>
          <w:p>
            <w:pPr>
              <w:spacing w:after="0"/>
              <w:rPr>
                <w:sz w:val="15"/>
                <w:szCs w:val="15"/>
                <w:color w:val="auto"/>
              </w:rPr>
            </w:pP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24,756</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10,157</w:t>
            </w: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revenue</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112,979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(82,897)</w:t>
            </w: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21,463</w:t>
            </w: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42,996</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41,988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r>
      <w:tr>
        <w:trPr>
          <w:trHeight w:val="171"/>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(22,096)</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72,269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(94,365)</w:t>
            </w:r>
          </w:p>
        </w:tc>
      </w:tr>
      <w:tr>
        <w:trPr>
          <w:trHeight w:val="17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w:t>
            </w:r>
          </w:p>
        </w:tc>
      </w:tr>
      <w:tr>
        <w:trPr>
          <w:trHeight w:val="18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w:t>
            </w: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(40,455)</w:t>
            </w: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(101,477)</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sales,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 sales, net for the three months ended March 31, 2025 was $34.9 million compared to $24.8 million for the three months ended March 31, 2024, an increase of approximately $10.1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is primarily due to prescription growth volumes of NEXLETOL and NEXLIZET compared to the first quarter of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 revenue</w:t>
      </w:r>
    </w:p>
    <w:p>
      <w:pPr>
        <w:spacing w:after="0" w:line="181"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Collaboration revenue recognized from our collaboration agreements for the three months ended March 31, 2025 was $30.1 million compared to $113.0 million for the three months ended March 31, 2024, a decrease of $82.9 million. The decrease is primarily due to the Settlement Agreement with DSE received in the three months ended March 31, 2024, partially offset by increased royalty sales growth within our partner territories and product sales to our collaboration partners from our supply agreements.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w:t>
      </w:r>
    </w:p>
    <w:p>
      <w:pPr>
        <w:spacing w:after="0" w:line="170"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4"/>
          <w:szCs w:val="14"/>
          <w:color w:val="auto"/>
        </w:rPr>
        <w:t>Cost of goods sold for the three months ended March 31, 2025 was $31.5 million compared to $10.1 million for the three months ended March 31, 2024, an increase of approximately $21.4 million. The increase is primarily related to increased product sales to our collaboration partners from our supply agreements, increased net product sales of NEXLETOL and NEXLIZET, production related write-offs and mark to market reserves on inventory cost adjustments.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8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for the three months ended March 31, 2025, were $12.6 million, compared to $13.4 million for the three months ended March 31, 2024, a decrease of $0.8 million. The decrease in research and development expenses was primarily attributable to decreased compensation costs, including bonus, stock compensation and consulting.</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8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expenses for the three months ended March 31, 2025, were $43.0 million, compared to $42.0 million for the three months ended March 31, 2024, an increase of $1.0 million. The increase in selling, general and administrative expenses was primarily attributable to increased consulting and marketing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Interest expense for the three months ended March 31, 2025, was $19.4 million, compared to $14.0 million for the three months ended March 31, 2024, an increase of $5.4 million. The increase in interest expense was primarily attributable to interest on our Loan. Interest expense for the three months ended March 31, 2025 was related to our royalty sale liability, Loan and convertible notes and the associated amortization of debt issuance costs and original issue discounts. Interest expense for the three months ended March 31, 2024 was related to our revenue interest liability and convertible notes.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8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Other income, net for the three months ended March 31, 2025, was $1.1 million, compared to $2.8 million for the three months ended March 31, 2024, a decrease of $1.7 million. The decrease in other income, net was primarily due to lower interest income on our cash equivalents.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and our revenue interest and royalty purchase agreements. Pursuant to the license and collaboration agreements with DSE, DS, and Otsuka, we are eligible for substantial additional sales and regulatory milestone payments and royalties.</w:t>
      </w:r>
    </w:p>
    <w:p>
      <w:pPr>
        <w:spacing w:after="0" w:line="15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On January 2, 2024, we entered into a Settlement Agreement with DSE to amicably resolve and dismiss the commercial dispute that was pending in the Southern District of New York. Under the Settlement Agreement, DSE agreed to pay us an aggregate of $125.0 million, including (1) a $100.0 million payment within 15 business days of the effective date of the Settlement Agreement, which we received in January 2024, and (2) a $25.0 million payment in the calendar quarter immediately following the calendar quarter in which the European Medicines Agency, or EMA, renders a decision on the application that was filed with the EMA for a Type II(a) variation for our oral non-statin products marketed as NILEMDO® (bempedoic acid) tablets and NUSTENDI® (bempedoic acid and ezetimibe) tablets in Europe, which we received in June 2024. The legal action pending in the United States District Court for the Southern District of New York has now been dismissed.</w:t>
      </w:r>
    </w:p>
    <w:p>
      <w:pPr>
        <w:spacing w:after="0" w:line="16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On January 18, 2024, we entered into an underwriting agreement, or Underwriting Agreement, with Jefferies LLC, or Jefferies, as representative of several underwriters, or the Underwriters, related to an underwritten public offering, or the January 2024 Offering, of 56,700,000 shares of our common stock, at a purchase price to the public of $1.50 per share. The Underwriters were also granted a 30-day option to purchase up to an additional 8,505,000 shares of our common stock, at the public offering price. On January 19, 2024, Jefferies gave us notice of its election to exercise the option to purchase additional shares, in full. Giving effect to the exercise of Underwriters' option, the January Offering closed on January 23, 2024, with proceeds to the Company of approximately $90.7 million, after deducting the underwriting discount and estimated offering expenses of $7.1 million.</w:t>
      </w:r>
    </w:p>
    <w:p>
      <w:pPr>
        <w:spacing w:after="0" w:line="16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On December 12, 2024, we entered into privately negotiated exchange and subscription agreements with certain holders of our 4.00% Convertible Senior Subordinated Notes due 2025, or the 2025 Notes, pursuant to which we issued $100.0 million aggregate principal amount of 5.75% Convertible Senior Subordinated Notes due in June 2030, or the 2030 Notes, consisting of (a) approximately $57.5 million principal amount of 2030 Notes, along with approximately $153.4 million in cash, including accrued interest, issued in exchange for approximately $210.1 million principal amount of 2025 Notes, or the Exchange Transaction. As part of our December 2024 Credit Agreement and Exchange Transaction for our 2025 and 2030 Notes, as described in more detail below, the Company added approximately $26.5 million of net cash and cash equivalents to the balance sheets after payments of original issue discount, issuance costs and accrued interest on the partial extinguishment of the 2025 Notes.</w:t>
      </w:r>
    </w:p>
    <w:p>
      <w:pPr>
        <w:spacing w:after="0" w:line="143"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4"/>
          <w:szCs w:val="14"/>
          <w:color w:val="auto"/>
        </w:rPr>
        <w:t>We anticipate that we will incur operating losses for the near term future as we continue to incur substantial expenses related to the ongoing commercialization of NEXLETOL and NEXLIZET and expenses associated with our research and development activities. We anticipate that our current cash and cash equivalents, expected future net product sales of NEXLETOL and NEXLIZET, and expected future revenue under our collaboration agreements is sufficient to fund continuing operations for the foreseeable future.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As of March 31, 2025, our primary sources of liquidity were our cash and cash equivalents which totaled $114.6 million. We invest our cash equivalents in highly liquid, interest-bearing investment-grade securities to preserve principal.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primary sources and uses of cash for the periods presented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60" w:type="dxa"/>
            <w:vAlign w:val="bottom"/>
            <w:tcBorders>
              <w:bottom w:val="single" w:sz="8" w:color="auto"/>
            </w:tcBorders>
          </w:tcPr>
          <w:p>
            <w:pPr>
              <w:spacing w:after="0"/>
              <w:rPr>
                <w:sz w:val="13"/>
                <w:szCs w:val="13"/>
                <w:color w:val="auto"/>
              </w:rPr>
            </w:pPr>
          </w:p>
        </w:tc>
      </w:tr>
      <w:tr>
        <w:trPr>
          <w:trHeight w:val="154"/>
        </w:trPr>
        <w:tc>
          <w:tcPr>
            <w:tcW w:w="756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w w:val="90"/>
              </w:rPr>
              <w:t>2024</w:t>
            </w:r>
          </w:p>
        </w:tc>
      </w:tr>
      <w:tr>
        <w:trPr>
          <w:trHeight w:val="150"/>
        </w:trPr>
        <w:tc>
          <w:tcPr>
            <w:tcW w:w="7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60" w:type="dxa"/>
            <w:vAlign w:val="bottom"/>
            <w:gridSpan w:val="3"/>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3"/>
                <w:szCs w:val="13"/>
                <w:color w:val="auto"/>
              </w:rPr>
            </w:pPr>
          </w:p>
        </w:tc>
      </w:tr>
      <w:tr>
        <w:trPr>
          <w:trHeight w:val="18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53,828</w:t>
            </w:r>
          </w:p>
        </w:tc>
      </w:tr>
      <w:tr>
        <w:trPr>
          <w:trHeight w:val="180"/>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8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90,606</w:t>
            </w:r>
          </w:p>
        </w:tc>
      </w:tr>
      <w:tr>
        <w:trPr>
          <w:trHeight w:val="171"/>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9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(30,128)</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144,361</w:t>
            </w:r>
          </w:p>
        </w:tc>
      </w:tr>
      <w:tr>
        <w:trPr>
          <w:trHeight w:val="20"/>
        </w:trPr>
        <w:tc>
          <w:tcPr>
            <w:tcW w:w="7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8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 and our early stage pipeline assets.</w:t>
      </w:r>
    </w:p>
    <w:p>
      <w:pPr>
        <w:spacing w:after="0" w:line="12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Net cash used in operating activities totaled $22.6 million for the three months ended March 31, 2025, compared to $53.8 million of cash provided by operating activities for the three months ended March 31, 2024. Net cash used in operating activities of $22.6 million for the three months ended March 31, 2025 consisted primarily of net product sales of NEXLETOL and NEXLIZET and collaboration revenue fully offset by cash used to fund the commercialization activities of NEXLETOL and NEXLIZET and the research and development costs related to bempedoic acid and the bempedoic acid / ezetimibe combination tablet and our other early stage pipeline assets, adjusted for non-cash items such as royalty revenue paid or to be paid to OMERS, stock-based compensation expense, interest expense related to our royalty sale agreement, amortization of issuance costs on our convertible notes, depreciation and amortization and changes in working capital. Net cash provided by operating activities of $53.8 million in for the three months ended March 31, 2024 consisted primarily of net product sales of NEXLETOL and NEXLIZET and collaboration revenue from the Settlement Agreement with DSE partially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depreciation and amortization and changes in working capital.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were no cash used in or provided by investing activities for three months ended March 31, 2025. Net cash used in investing activities of $0.1 million for the three months ended March 31, 2024 consisted of purchases of property, plant and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81"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Net cash used in financing activities of $7.5 million for the three months ended March 31, 2025 related primarily to payments of issuance costs on our December 2024 Credit Agreement and Exchange Transaction. Net cash provided by financing activities of $90.6 million for the three months ended March 31, 2024 related primarily to our January 2024 Offering and warrant exercises, partially offset by payments on our revenue interest liability.</w:t>
      </w:r>
    </w:p>
    <w:p>
      <w:pPr>
        <w:spacing w:after="0" w:line="1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On December 17, 2024, we closed on the Exchange Agreement where we repaid $210.1 million aggregate principal amount of our $265.0 million 2025 Notes and associated accrued interest. Future payments under the 4.00% 2025 Notes include annual interest of $2.2 million and a principal payment of $54.9 million due in November 2025. Refer to Note 10 "Debt" in our condensed financial statements appearing elsewhere in this Quarterly Report on Form 10-Q.</w:t>
      </w:r>
    </w:p>
    <w:p>
      <w:pPr>
        <w:spacing w:after="0" w:line="1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On December 17, 2024, we issued $100.0 million aggregate principal amount of 5.75% convertible senior subordinated notes due 2030 to certain financial institutions as the initial purchasers of the convertible notes, or 2030 Notes. Future payments under the 2030 Notes include annual interest of approximately $5.8 million and a principal payment of $100.0 million in 2030. Refer to Note 10 "Debt" in our condensed financial statements appearing elsewhere in this Quarterly Report on Form 10-Q.</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On December 13, 2024, we entered into a credit agreement, or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or the Loan, which was borrowed in full at closing. Proceeds from the Loan were used repay a portion of the outstanding obligations under our 2025 Notes, and to pay an original issue discount of $3.8 million and fees and expenses in connection with the Credit Agreement of $5.4 million. The Loan will bear interest at an annual rate of 9.75% if paid in cash, and 11.75% if paid-in-kind. At the Company’s option, interest on the Loan may be paid-in-kind for the first four full fiscal quarters ending after the closing date. The Credit Agreement requires quarterly interest-only payments for the first four years after the closing date and, thereafter, the Loan will partially amortize in quarterly principal payments of 12.5%, with the outstanding balance to be repaid on the maturity date of December 13, 2029. Future payments under the Loan are expected to be annual interest of $14.6 million ($15.4 million in 2025 with the additional portion related to the fourth quarter of 2024), $18.8 million in principal in the year ended December 31, 2028, and the remaining approximately $131.2 million in principal in the year ended December 31, 2029.</w:t>
      </w:r>
    </w:p>
    <w:p>
      <w:pPr>
        <w:spacing w:after="0" w:line="1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4"/>
          <w:szCs w:val="14"/>
          <w:color w:val="auto"/>
        </w:rPr>
        <w:t>On June 27, 2024, we entered into a Royalty Purchase Agreement, or the Purchase Agreement, with OMERS. Pursuant to the Purchase Agreement, we sold a portion of the royalties payable on net sales of Bempedoic Acid from our collaboration partner DSE. Pursuant to the Purchase Agreement, we received $304.7 million, less issuance costs. OMERS acquired 100% of the Royalty Interests until such time as they have received an aggregate amount equal to 1.7x of the Purchase Price (equivalent to approximately $517.9 million). Following receipt of such amount, 100% of all Royalty Interests will revert to the Company. Through March 31, 2025, the royalties recognized and settled to the Purchaser was $36.6 million The Company expects future royalties to OMERS may range from $57.2 million in the next year to a maximum total payment of approximately $424.1 million beyond one year. A significant increase or decrease in future royalties will materially impact the royalty sale liability, interest expense and the time period for repayment. Refer to Note 9 "Sale of Future Royalties" in our condensed financial statements included in this Quarterly Report on Form 10-Q for the quarter ended March 31, 2025 for further information.</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4"/>
          <w:szCs w:val="14"/>
          <w:color w:val="auto"/>
        </w:rPr>
        <w:t>On June 27, 2024, we repurchased the Revenue Interests outstanding under the RIPA for $343.8 million and recognized a loss on extinguishment of debt in the statement of operations. Following the repurchase in June 2024, we no longer owe payments under the RIPA. Refer to Note 8 "Liability Related to the Revenue Interest Purchase Agreement" in our condensed financial statements included in this Quarterly Report on Form 10-Q for further information.</w:t>
      </w:r>
    </w:p>
    <w:p>
      <w:pPr>
        <w:spacing w:after="0" w:line="157"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4"/>
          <w:szCs w:val="14"/>
          <w:color w:val="auto"/>
        </w:rPr>
        <w:t>On January 18, 2024, we entered into the Underwriting Agreement with Jefferies, as representative of the Underwriters, related to the January 2024 Offering of 56,700,000 shares of our common stock, at a purchase price to the public of $1.50 per share. The Underwriters were also granted a 30-day option to purchase up to an additional 8,505,000 shares of our common stock, at the public offering price. On January 19, 2024, Jefferies gave us notice of its election to exercise the option to purchase additional shares, in full. Giving effect to the exercise of Underwriters' option, the January Offering closed on January 23, 2024, with proceeds to the Company of approximately $90.7 million, after deducting the underwriting discount and estimated offering expenses of $7.1 million.</w:t>
      </w:r>
    </w:p>
    <w:p>
      <w:pPr>
        <w:spacing w:after="0" w:line="16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On February 21, 2023, we entered into a Controlled Equity Offering Sales Agreement with Cantor Fitzgerald &amp; Co., as sales agent, to provide for the issuance and sale by us of up to $70.0 million of shares of our common stock from time to time in “at-the-market” offerings, or the 2023 ATM Program, pursuant to our existing Form S-3 and the prospectus supplement filed on February 21, 2023. No shares were issued during the three months ended March 31, 2025 and 2024. We may continue to use the 2023 ATM Program to address potential short-term or long-term funding requirements that may arise. Such program will continue to be subject to the volatility of the price of our common stock and general market conditions.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On March 22, 2023, we issued and sold, in a registered direct offering, or the Registered Direct Offering, 12,205,000 shares of our common stock, pre-funded warrants to purchase up to an aggregate of 20,965,747 shares of our common stock, and warrants to purchase up to 33,170,747 shares of our common stock. The combined purchase price of each share of common stock and accompanying warrant was $1.675 per share. The purchase price of each pre-funded warrant and the accompanying warrant was $1.674 (equal to the combined purchase price per share of common stock and accompanying warrant, minus $0.001). In connection with the Registered Direct Offering, we amended certain existing warrants to purchase up to an aggregate of 9,024,212 shares of our common stock that were previously issued in December 2021 at an exercise price of $9.00 per share and had an expiration date of December 7, 2023, such that the amended warrants have a reduced exercise price of $1.55 per share. The warrants are immediately exercisable and will expire on September 22, 2026, which may provide us with additional funding, if such warrants are exercised by their holders. Each pre-funded warrant is exercisable for one share of our common stock at an exercise price of $0.001 per share. The pre-funded warrants were immediately exercisable and could be exercised at any time. As of March 31, 2025, no pre-funded warrants were outstanding as all were exercised during the year ended 2023. We received net proceeds of approximately $51.3 million related to the Registered Direct Offering after deducting placement agent fees and related offering expenses of $4.2 million, and we received approximately $1.1 million in connection with the amended warrants after deducting placement fees of $0.1 million. In the three months ended March 31, 2024, we received net proceeds of approximately $5.8 million from the exercise of warrants in connection with the Registered Direct Offering.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Plan of Operations and Funding Requirements</w:t>
      </w:r>
    </w:p>
    <w:p>
      <w:pPr>
        <w:spacing w:after="0" w:line="17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We expect to continue to incur expenses and operating losses for the near term future in connection with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DSE, DS and Otsuka are sufficient to fund operations for the foreseeable future. We have based these estimates on assumptions that may prove to be wrong, and we may use our available capital resources sooner than we currently expect.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spacing w:after="0" w:line="182" w:lineRule="exact"/>
        <w:rPr>
          <w:sz w:val="20"/>
          <w:szCs w:val="20"/>
          <w:color w:val="auto"/>
        </w:rPr>
      </w:pPr>
    </w:p>
    <w:p>
      <w:pPr>
        <w:ind w:left="1020" w:hanging="506"/>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develop and commercialize NEXLETOL and NEXLIZET or other product candidates;</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 and payment of potential debt maturities;</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any future collaboration or commercialization arrangements on favorable terms, if at all;</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intended benefits of our existing and future collaboration and partnerships, including receiving potential milestone payments from collaboration partners;</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maintaining and enforcing our intellectual property rights and defending intellectual property-related claims; and</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operational and financial information technology.</w:t>
      </w:r>
    </w:p>
    <w:p>
      <w:pPr>
        <w:spacing w:after="0" w:line="16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Until such time, if ever, as we can generate substantial U.S. product revenues and collaboration royalties, we expect to finance our cash needs through a combination of collaborations with third parties, strategic alliances, licensing arrangements, debt financings,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or our other ex-U.S. partners, we may have to relinquish valuable rights to our technologies, future revenue streams or grant licenses on terms that may not be favorable to us. If we raise funds by selling additional equity, such sale would result in dilution to our stockholders. If we are unable to raise additional funds through equity or permitted debt financings or through collaborations, strategic alliances or licensing arrangements or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currently have, nor did we have during the periods presented, any off-balance sheet arrangements as defined by the SEC rules.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with respect to the information appearing in Part II, Item 7A, “Quantitative and Qualitative Disclosures About Market Risk,” in our Annual Report on Form 10-K for the fiscal year ended December 31, 2024.</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our principal financial officer, to allow timely decisions regarding required disclosure.</w:t>
      </w:r>
    </w:p>
    <w:p>
      <w:pPr>
        <w:spacing w:after="0" w:line="13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As of March 31, 2025,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2025, our disclosure controls and procedures were effective at the reasonable assurance level.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were no changes to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information required with respect to this item can be found under “Commitments and Contingencies” in Note 5 to our condensed financial statements included elsewhere in this Quarterly Report on Form 10-Q and is incorporated by reference into this Item 1.</w:t>
      </w:r>
    </w:p>
    <w:p>
      <w:pPr>
        <w:spacing w:after="0" w:line="12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i w:val="1"/>
          <w:iCs w:val="1"/>
          <w:color w:val="auto"/>
        </w:rPr>
        <w:t>Except for the historical information contained herein or incorporated by reference, this Quarterly Report on Form 10-Q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Quarterly Report on Form 10-Q. Factors that could cause or contribute to these differences include, but are not limited to, those discussed in Part I, Item 2 entitled "Management's Discussion and Analysis of Financial Condition and Results of Operations" and elsewhere throughout this Quarterly Report on Form 10-Q and in any documents incorporated in this Quarterly Report on Form 10-Q by reference.</w:t>
      </w:r>
    </w:p>
    <w:p>
      <w:pPr>
        <w:spacing w:after="0" w:line="16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i w:val="1"/>
          <w:iCs w:val="1"/>
          <w:color w:val="auto"/>
        </w:rPr>
        <w:t>You should consider carefully the following risk factors, together with those set forth in Part I, Item 1A in our Annual Report on Form 10-K for the fiscal year ended December 31, 2024 and in all of the other information included or incorporated in this Quarterly Report on Form 10-Q. The following risk factors represent new risk factors or those containing changes, including material changes, to the risk factors set forth in Part I, Item 1A of our Annual Report on Form 10-K for the fiscal year ended December 31, 2024. If any of the previously identified or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5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Currently, federal agencies in the U.S. are operating under a continuing resolution that is set to expire on September 30, 2025. Without appropriations of additional funding to federal agencies, our business operations related to our product development activities for the U.S. market could be impacted.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 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4"/>
          <w:szCs w:val="14"/>
          <w:color w:val="auto"/>
        </w:rPr>
        <w:t>Disruptions and personnel turnover, as a result of leadership changes, staff reductions or otherwise, at the FDA and other agencies may also slow the time necessary for product applications to be reviewed and/or approved by necessary government agencies, which would adversely affect our business. Changes and cuts in FDA staffing also could result in delays in the FDA’s responsiveness or in its ability to review investigational new drug application submissions, issue regulations or guidance, or implement or enforce regulatory requirements in a timely fashion or at all. If a prolonged government shutdown occurs, if the FDA is required to furlough review staff or necessary employees, or if the agency operations are otherwise impacted, it could significantly affect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Unfavorable macroeconomic conditions or market volatility resulting from geopolitical developments or national or global economic conditions, including those affecting the financial services industry, could adversely affect our business, financial condition or results of operations.</w:t>
      </w:r>
    </w:p>
    <w:p>
      <w:pPr>
        <w:spacing w:after="0" w:line="144"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4"/>
          <w:szCs w:val="14"/>
          <w:color w:val="auto"/>
        </w:rPr>
        <w:t>Adverse market or macroeconomic conditions or market volatility resulting from geopolitical events, global economic developments, political unrest, high inflation, rising interest rates, tariffs, changes in international trade relationships and military conflicts, such as the ongoing conflict between Russia and Ukraine and the conflict between Israel and Hamas or other factors, could materially and adversely affect our business operations.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Tariffs levied by the U.S. and other countries also may adversely affect financial markets and the global economy. For example, in 2025, the United States imposed tariffs on imports on its trading partners, including Canada, Mexico, the EU and China. The new U.S. administration has threatened to continue to broadly impose tariffs, which could lead to corresponding punitive actions by the countries with which the U.S. trades.</w:t>
      </w:r>
    </w:p>
    <w:p>
      <w:pPr>
        <w:spacing w:after="0" w:line="16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Additionally,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There can be no assurance that further deterioration in credit and financial markets and confidence in economic conditions will not occur.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6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A severe or prolonged economic downturn or additional global financial crises could result in a variety of risks to our business, including weakened demand for any product candidates we develop or our ability to raise additional capital when needed on acceptable terms, if at all. Also,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there has been proposed U.S. legislation that may restrict the ability of U.S. biopharmaceutical companies to purchase services or products from, or otherwise collaborate with, certain Chinese biotechnology companies of concern without losing the ability to contract with, or otherwise receive funding from, the U.S. government. We continue to assess the legislation as it develops to determine whether it could have an effect on our contractual relationships.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 foregoing could harm our business and we cannot anticipate all of the ways in which the current economic climate and financial market conditions could adversely impact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During the quarter ended March 31, 2025, none of our directors or officers (as defined in Rule 16a-1 under the Exchange Act) adopted or terminated a "Rule 10b5-1 trading arrangement" or "non-Rule 10b5-1 trading arrangement" (as those terms are defined in Item 408 of Regulation S-K).</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exhibits filed or furnished as part of this Quarterly Report on Form 10-Q are set forth on the Exhibit Index, which Exhibit Index is incorporated herein by reference.</w:t>
      </w:r>
    </w:p>
    <w:p>
      <w:pPr>
        <w:spacing w:after="0" w:line="17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1"/>
                <w:szCs w:val="11"/>
                <w:b w:val="1"/>
                <w:bCs w:val="1"/>
                <w:color w:val="auto"/>
              </w:rPr>
              <w:t>Incorporated by Reference to:</w:t>
            </w: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1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Form or</w:t>
            </w:r>
          </w:p>
        </w:tc>
        <w:tc>
          <w:tcPr>
            <w:tcW w:w="1360" w:type="dxa"/>
            <w:vAlign w:val="bottom"/>
            <w:vMerge w:val="restart"/>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400" w:type="dxa"/>
            <w:vAlign w:val="bottom"/>
          </w:tcPr>
          <w:p>
            <w:pPr>
              <w:jc w:val="center"/>
              <w:ind w:right="179"/>
              <w:spacing w:after="0" w:line="106" w:lineRule="exact"/>
              <w:rPr>
                <w:sz w:val="20"/>
                <w:szCs w:val="20"/>
                <w:color w:val="auto"/>
              </w:rPr>
            </w:pPr>
            <w:r>
              <w:rPr>
                <w:rFonts w:ascii="Times New Roman" w:cs="Times New Roman" w:eastAsia="Times New Roman" w:hAnsi="Times New Roman"/>
                <w:sz w:val="11"/>
                <w:szCs w:val="11"/>
                <w:b w:val="1"/>
                <w:bCs w:val="1"/>
                <w:color w:val="auto"/>
              </w:rPr>
              <w:t>Filing</w:t>
            </w:r>
          </w:p>
        </w:tc>
        <w:tc>
          <w:tcPr>
            <w:tcW w:w="1280" w:type="dxa"/>
            <w:vAlign w:val="bottom"/>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SEC File</w:t>
            </w:r>
          </w:p>
        </w:tc>
        <w:tc>
          <w:tcPr>
            <w:tcW w:w="0" w:type="dxa"/>
            <w:vAlign w:val="bottom"/>
          </w:tcPr>
          <w:p>
            <w:pPr>
              <w:spacing w:after="0"/>
              <w:rPr>
                <w:sz w:val="1"/>
                <w:szCs w:val="1"/>
                <w:color w:val="auto"/>
              </w:rPr>
            </w:pPr>
          </w:p>
        </w:tc>
      </w:tr>
      <w:tr>
        <w:trPr>
          <w:trHeight w:val="117"/>
        </w:trPr>
        <w:tc>
          <w:tcPr>
            <w:tcW w:w="11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00" w:type="dxa"/>
            <w:vAlign w:val="bottom"/>
            <w:gridSpan w:val="1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18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400" w:type="dxa"/>
            <w:vAlign w:val="bottom"/>
          </w:tcPr>
          <w:p>
            <w:pPr>
              <w:jc w:val="center"/>
              <w:ind w:right="179"/>
              <w:spacing w:after="0" w:line="117" w:lineRule="exact"/>
              <w:rPr>
                <w:sz w:val="20"/>
                <w:szCs w:val="20"/>
                <w:color w:val="auto"/>
              </w:rPr>
            </w:pPr>
            <w:r>
              <w:rPr>
                <w:rFonts w:ascii="Times New Roman" w:cs="Times New Roman" w:eastAsia="Times New Roman" w:hAnsi="Times New Roman"/>
                <w:sz w:val="11"/>
                <w:szCs w:val="11"/>
                <w:b w:val="1"/>
                <w:bCs w:val="1"/>
                <w:color w:val="auto"/>
              </w:rPr>
              <w:t>Date with</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No.</w:t>
            </w: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12"/>
            <w:vMerge w:val="continue"/>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Schedule</w:t>
            </w:r>
          </w:p>
        </w:tc>
        <w:tc>
          <w:tcPr>
            <w:tcW w:w="13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14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SEC</w:t>
            </w:r>
          </w:p>
        </w:tc>
        <w:tc>
          <w:tcPr>
            <w:tcW w:w="12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0" w:type="dxa"/>
            <w:vAlign w:val="bottom"/>
          </w:tcPr>
          <w:p>
            <w:pPr>
              <w:spacing w:after="0"/>
              <w:rPr>
                <w:sz w:val="1"/>
                <w:szCs w:val="1"/>
                <w:color w:val="auto"/>
              </w:rPr>
            </w:pPr>
          </w:p>
        </w:tc>
      </w:tr>
      <w:tr>
        <w:trPr>
          <w:trHeight w:val="250"/>
        </w:trPr>
        <w:tc>
          <w:tcPr>
            <w:tcW w:w="600" w:type="dxa"/>
            <w:vAlign w:val="bottom"/>
            <w:gridSpan w:val="3"/>
          </w:tcPr>
          <w:p>
            <w:pPr>
              <w:jc w:val="right"/>
              <w:spacing w:after="0"/>
              <w:rPr>
                <w:rFonts w:ascii="Times New Roman" w:cs="Times New Roman" w:eastAsia="Times New Roman" w:hAnsi="Times New Roman"/>
                <w:sz w:val="13"/>
                <w:szCs w:val="13"/>
                <w:color w:val="0000FF"/>
              </w:rPr>
            </w:pPr>
            <w:hyperlink r:id="rId55">
              <w:r>
                <w:rPr>
                  <w:rFonts w:ascii="Times New Roman" w:cs="Times New Roman" w:eastAsia="Times New Roman" w:hAnsi="Times New Roman"/>
                  <w:sz w:val="13"/>
                  <w:szCs w:val="13"/>
                  <w:color w:val="0000FF"/>
                </w:rPr>
                <w:t>3.</w:t>
              </w:r>
              <w:r>
                <w:rPr>
                  <w:rFonts w:ascii="Times New Roman" w:cs="Times New Roman" w:eastAsia="Times New Roman" w:hAnsi="Times New Roman"/>
                  <w:sz w:val="13"/>
                  <w:szCs w:val="13"/>
                  <w:u w:val="single" w:color="auto"/>
                  <w:color w:val="0000FF"/>
                </w:rPr>
                <w:t>1</w:t>
              </w:r>
            </w:hyperlink>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0" w:type="dxa"/>
            <w:vAlign w:val="bottom"/>
            <w:gridSpan w:val="18"/>
          </w:tcPr>
          <w:p>
            <w:pPr>
              <w:spacing w:after="0"/>
              <w:rPr>
                <w:rFonts w:ascii="Times New Roman" w:cs="Times New Roman" w:eastAsia="Times New Roman" w:hAnsi="Times New Roman"/>
                <w:sz w:val="13"/>
                <w:szCs w:val="13"/>
                <w:color w:val="0000FF"/>
              </w:rPr>
            </w:pPr>
            <w:hyperlink r:id="rId55">
              <w:r>
                <w:rPr>
                  <w:rFonts w:ascii="Times New Roman" w:cs="Times New Roman" w:eastAsia="Times New Roman" w:hAnsi="Times New Roman"/>
                  <w:sz w:val="13"/>
                  <w:szCs w:val="13"/>
                  <w:color w:val="0000FF"/>
                </w:rPr>
                <w:t>Amended and Restated Certificate of Incorporation of the Registrant</w:t>
              </w:r>
            </w:hyperlink>
          </w:p>
        </w:tc>
        <w:tc>
          <w:tcPr>
            <w:tcW w:w="11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auto"/>
                <w:w w:val="99"/>
              </w:rPr>
              <w:t>S-1</w:t>
            </w: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8"/>
              </w:rPr>
              <w:t>3.2</w:t>
            </w: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3"/>
                <w:szCs w:val="13"/>
                <w:color w:val="auto"/>
                <w:w w:val="99"/>
              </w:rPr>
              <w:t>June 12, 2013</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333-188595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gridSpan w:val="3"/>
          </w:tcPr>
          <w:p>
            <w:pPr>
              <w:jc w:val="right"/>
              <w:spacing w:after="0"/>
              <w:rPr>
                <w:rFonts w:ascii="Times New Roman" w:cs="Times New Roman" w:eastAsia="Times New Roman" w:hAnsi="Times New Roman"/>
                <w:sz w:val="13"/>
                <w:szCs w:val="13"/>
                <w:color w:val="0000FF"/>
              </w:rPr>
            </w:pPr>
            <w:hyperlink r:id="rId56">
              <w:r>
                <w:rPr>
                  <w:rFonts w:ascii="Times New Roman" w:cs="Times New Roman" w:eastAsia="Times New Roman" w:hAnsi="Times New Roman"/>
                  <w:sz w:val="13"/>
                  <w:szCs w:val="13"/>
                  <w:color w:val="0000FF"/>
                </w:rPr>
                <w:t>3.</w:t>
              </w:r>
              <w:r>
                <w:rPr>
                  <w:rFonts w:ascii="Times New Roman" w:cs="Times New Roman" w:eastAsia="Times New Roman" w:hAnsi="Times New Roman"/>
                  <w:sz w:val="13"/>
                  <w:szCs w:val="13"/>
                  <w:u w:val="single" w:color="auto"/>
                  <w:color w:val="0000FF"/>
                </w:rPr>
                <w:t>2</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gridSpan w:val="18"/>
          </w:tcPr>
          <w:p>
            <w:pPr>
              <w:spacing w:after="0"/>
              <w:rPr>
                <w:rFonts w:ascii="Times New Roman" w:cs="Times New Roman" w:eastAsia="Times New Roman" w:hAnsi="Times New Roman"/>
                <w:sz w:val="13"/>
                <w:szCs w:val="13"/>
                <w:color w:val="0000FF"/>
              </w:rPr>
            </w:pPr>
            <w:hyperlink r:id="rId56">
              <w:r>
                <w:rPr>
                  <w:rFonts w:ascii="Times New Roman" w:cs="Times New Roman" w:eastAsia="Times New Roman" w:hAnsi="Times New Roman"/>
                  <w:sz w:val="13"/>
                  <w:szCs w:val="13"/>
                  <w:color w:val="0000FF"/>
                </w:rPr>
                <w:t>Certificate of Amendment to Amended and Restated Certificate of Incorporation of the</w:t>
              </w:r>
            </w:hyperlink>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8"/>
              </w:rPr>
              <w:t>3.1</w:t>
            </w: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3"/>
                <w:szCs w:val="13"/>
                <w:color w:val="auto"/>
                <w:w w:val="99"/>
              </w:rPr>
              <w:t>May 26, 2022</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001-35986</w:t>
            </w: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6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56">
              <w:r>
                <w:rPr>
                  <w:rFonts w:ascii="Times New Roman" w:cs="Times New Roman" w:eastAsia="Times New Roman" w:hAnsi="Times New Roman"/>
                  <w:sz w:val="12"/>
                  <w:szCs w:val="12"/>
                  <w:color w:val="0000FF"/>
                </w:rPr>
                <w:t>Registrant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gridSpan w:val="3"/>
          </w:tcPr>
          <w:p>
            <w:pPr>
              <w:jc w:val="right"/>
              <w:spacing w:after="0"/>
              <w:rPr>
                <w:rFonts w:ascii="Times New Roman" w:cs="Times New Roman" w:eastAsia="Times New Roman" w:hAnsi="Times New Roman"/>
                <w:sz w:val="13"/>
                <w:szCs w:val="13"/>
                <w:color w:val="0000FF"/>
              </w:rPr>
            </w:pPr>
            <w:hyperlink r:id="rId57">
              <w:r>
                <w:rPr>
                  <w:rFonts w:ascii="Times New Roman" w:cs="Times New Roman" w:eastAsia="Times New Roman" w:hAnsi="Times New Roman"/>
                  <w:sz w:val="13"/>
                  <w:szCs w:val="13"/>
                  <w:color w:val="0000FF"/>
                </w:rPr>
                <w:t>3.</w:t>
              </w:r>
              <w:r>
                <w:rPr>
                  <w:rFonts w:ascii="Times New Roman" w:cs="Times New Roman" w:eastAsia="Times New Roman" w:hAnsi="Times New Roman"/>
                  <w:sz w:val="13"/>
                  <w:szCs w:val="13"/>
                  <w:u w:val="single" w:color="auto"/>
                  <w:color w:val="0000FF"/>
                </w:rPr>
                <w:t>3</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gridSpan w:val="18"/>
          </w:tcPr>
          <w:p>
            <w:pPr>
              <w:spacing w:after="0"/>
              <w:rPr>
                <w:rFonts w:ascii="Times New Roman" w:cs="Times New Roman" w:eastAsia="Times New Roman" w:hAnsi="Times New Roman"/>
                <w:sz w:val="13"/>
                <w:szCs w:val="13"/>
                <w:color w:val="0000FF"/>
              </w:rPr>
            </w:pPr>
            <w:hyperlink r:id="rId57">
              <w:r>
                <w:rPr>
                  <w:rFonts w:ascii="Times New Roman" w:cs="Times New Roman" w:eastAsia="Times New Roman" w:hAnsi="Times New Roman"/>
                  <w:sz w:val="13"/>
                  <w:szCs w:val="13"/>
                  <w:color w:val="0000FF"/>
                </w:rPr>
                <w:t>Certificate of Validation relating to Certificate of Amendment to the Amended and</w:t>
              </w:r>
            </w:hyperlink>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8"/>
              </w:rPr>
              <w:t>3.1</w:t>
            </w: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3"/>
                <w:szCs w:val="13"/>
                <w:color w:val="auto"/>
                <w:w w:val="99"/>
              </w:rPr>
              <w:t>September 20, 2022</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001-35986</w:t>
            </w: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57">
              <w:r>
                <w:rPr>
                  <w:rFonts w:ascii="Times New Roman" w:cs="Times New Roman" w:eastAsia="Times New Roman" w:hAnsi="Times New Roman"/>
                  <w:sz w:val="12"/>
                  <w:szCs w:val="12"/>
                  <w:color w:val="0000FF"/>
                </w:rPr>
                <w:t>Restated Certificate of Incorporation of the Registrant dated May 26, 2022</w:t>
              </w:r>
            </w:hyperlink>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gridSpan w:val="3"/>
          </w:tcPr>
          <w:p>
            <w:pPr>
              <w:jc w:val="right"/>
              <w:spacing w:after="0"/>
              <w:rPr>
                <w:rFonts w:ascii="Times New Roman" w:cs="Times New Roman" w:eastAsia="Times New Roman" w:hAnsi="Times New Roman"/>
                <w:sz w:val="13"/>
                <w:szCs w:val="13"/>
                <w:color w:val="0000FF"/>
              </w:rPr>
            </w:pPr>
            <w:hyperlink r:id="rId58">
              <w:r>
                <w:rPr>
                  <w:rFonts w:ascii="Times New Roman" w:cs="Times New Roman" w:eastAsia="Times New Roman" w:hAnsi="Times New Roman"/>
                  <w:sz w:val="13"/>
                  <w:szCs w:val="13"/>
                  <w:color w:val="0000FF"/>
                </w:rPr>
                <w:t>3.</w:t>
              </w:r>
              <w:r>
                <w:rPr>
                  <w:rFonts w:ascii="Times New Roman" w:cs="Times New Roman" w:eastAsia="Times New Roman" w:hAnsi="Times New Roman"/>
                  <w:sz w:val="13"/>
                  <w:szCs w:val="13"/>
                  <w:u w:val="single" w:color="auto"/>
                  <w:color w:val="0000FF"/>
                </w:rPr>
                <w:t>4</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gridSpan w:val="18"/>
          </w:tcPr>
          <w:p>
            <w:pPr>
              <w:spacing w:after="0"/>
              <w:rPr>
                <w:rFonts w:ascii="Times New Roman" w:cs="Times New Roman" w:eastAsia="Times New Roman" w:hAnsi="Times New Roman"/>
                <w:sz w:val="13"/>
                <w:szCs w:val="13"/>
                <w:color w:val="0000FF"/>
              </w:rPr>
            </w:pPr>
            <w:hyperlink r:id="rId58">
              <w:r>
                <w:rPr>
                  <w:rFonts w:ascii="Times New Roman" w:cs="Times New Roman" w:eastAsia="Times New Roman" w:hAnsi="Times New Roman"/>
                  <w:sz w:val="13"/>
                  <w:szCs w:val="13"/>
                  <w:color w:val="0000FF"/>
                </w:rPr>
                <w:t>Certificate of Amendment No. 2 to Amended and Restated Certificate of Incorporation</w:t>
              </w:r>
            </w:hyperlink>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8"/>
              </w:rPr>
              <w:t>3.1</w:t>
            </w: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3"/>
                <w:szCs w:val="13"/>
                <w:color w:val="auto"/>
                <w:w w:val="99"/>
              </w:rPr>
              <w:t>June 15, 2023</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001-35986</w:t>
            </w: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58">
              <w:r>
                <w:rPr>
                  <w:rFonts w:ascii="Times New Roman" w:cs="Times New Roman" w:eastAsia="Times New Roman" w:hAnsi="Times New Roman"/>
                  <w:sz w:val="12"/>
                  <w:szCs w:val="12"/>
                  <w:color w:val="0000FF"/>
                </w:rPr>
                <w:t>of the Registrant</w:t>
              </w:r>
            </w:hyperlink>
          </w:p>
        </w:tc>
        <w:tc>
          <w:tcPr>
            <w:tcW w:w="358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00" w:type="dxa"/>
            <w:vAlign w:val="bottom"/>
            <w:gridSpan w:val="3"/>
          </w:tcPr>
          <w:p>
            <w:pPr>
              <w:jc w:val="right"/>
              <w:spacing w:after="0"/>
              <w:rPr>
                <w:rFonts w:ascii="Times New Roman" w:cs="Times New Roman" w:eastAsia="Times New Roman" w:hAnsi="Times New Roman"/>
                <w:sz w:val="13"/>
                <w:szCs w:val="13"/>
                <w:color w:val="0000FF"/>
              </w:rPr>
            </w:pPr>
            <w:hyperlink r:id="rId59">
              <w:r>
                <w:rPr>
                  <w:rFonts w:ascii="Times New Roman" w:cs="Times New Roman" w:eastAsia="Times New Roman" w:hAnsi="Times New Roman"/>
                  <w:sz w:val="13"/>
                  <w:szCs w:val="13"/>
                  <w:color w:val="0000FF"/>
                </w:rPr>
                <w:t>3.</w:t>
              </w:r>
              <w:r>
                <w:rPr>
                  <w:rFonts w:ascii="Times New Roman" w:cs="Times New Roman" w:eastAsia="Times New Roman" w:hAnsi="Times New Roman"/>
                  <w:sz w:val="13"/>
                  <w:szCs w:val="13"/>
                  <w:u w:val="single" w:color="auto"/>
                  <w:color w:val="0000FF"/>
                </w:rPr>
                <w:t>5</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gridSpan w:val="18"/>
          </w:tcPr>
          <w:p>
            <w:pPr>
              <w:spacing w:after="0"/>
              <w:rPr>
                <w:rFonts w:ascii="Times New Roman" w:cs="Times New Roman" w:eastAsia="Times New Roman" w:hAnsi="Times New Roman"/>
                <w:sz w:val="13"/>
                <w:szCs w:val="13"/>
                <w:color w:val="0000FF"/>
              </w:rPr>
            </w:pPr>
            <w:hyperlink r:id="rId59">
              <w:r>
                <w:rPr>
                  <w:rFonts w:ascii="Times New Roman" w:cs="Times New Roman" w:eastAsia="Times New Roman" w:hAnsi="Times New Roman"/>
                  <w:sz w:val="13"/>
                  <w:szCs w:val="13"/>
                  <w:color w:val="0000FF"/>
                </w:rPr>
                <w:t>Second Amended and Restated Bylaws of the Registrant dated April 29, 2021</w:t>
              </w:r>
            </w:hyperlink>
          </w:p>
        </w:tc>
        <w:tc>
          <w:tcPr>
            <w:tcW w:w="11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auto"/>
                <w:w w:val="97"/>
              </w:rPr>
              <w:t>10-Q</w:t>
            </w: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8"/>
              </w:rPr>
              <w:t>3.1</w:t>
            </w: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3"/>
                <w:szCs w:val="13"/>
                <w:color w:val="auto"/>
                <w:w w:val="96"/>
              </w:rPr>
              <w:t>May 4, 2021</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001-35986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gridSpan w:val="3"/>
          </w:tcPr>
          <w:p>
            <w:pPr>
              <w:jc w:val="right"/>
              <w:spacing w:after="0"/>
              <w:rPr>
                <w:rFonts w:ascii="Times New Roman" w:cs="Times New Roman" w:eastAsia="Times New Roman" w:hAnsi="Times New Roman"/>
                <w:sz w:val="13"/>
                <w:szCs w:val="13"/>
                <w:color w:val="0000FF"/>
              </w:rPr>
            </w:pPr>
            <w:hyperlink r:id="rId60">
              <w:r>
                <w:rPr>
                  <w:rFonts w:ascii="Times New Roman" w:cs="Times New Roman" w:eastAsia="Times New Roman" w:hAnsi="Times New Roman"/>
                  <w:sz w:val="13"/>
                  <w:szCs w:val="13"/>
                  <w:color w:val="0000FF"/>
                </w:rPr>
                <w:t>4.</w:t>
              </w:r>
              <w:r>
                <w:rPr>
                  <w:rFonts w:ascii="Times New Roman" w:cs="Times New Roman" w:eastAsia="Times New Roman" w:hAnsi="Times New Roman"/>
                  <w:sz w:val="13"/>
                  <w:szCs w:val="13"/>
                  <w:u w:val="single" w:color="auto"/>
                  <w:color w:val="0000FF"/>
                </w:rPr>
                <w:t>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gridSpan w:val="18"/>
          </w:tcPr>
          <w:p>
            <w:pPr>
              <w:spacing w:after="0"/>
              <w:rPr>
                <w:rFonts w:ascii="Times New Roman" w:cs="Times New Roman" w:eastAsia="Times New Roman" w:hAnsi="Times New Roman"/>
                <w:sz w:val="13"/>
                <w:szCs w:val="13"/>
                <w:color w:val="0000FF"/>
              </w:rPr>
            </w:pPr>
            <w:hyperlink r:id="rId60">
              <w:r>
                <w:rPr>
                  <w:rFonts w:ascii="Times New Roman" w:cs="Times New Roman" w:eastAsia="Times New Roman" w:hAnsi="Times New Roman"/>
                  <w:sz w:val="13"/>
                  <w:szCs w:val="13"/>
                  <w:color w:val="0000FF"/>
                </w:rPr>
                <w:t>Specimen Common Stock Certificate</w:t>
              </w:r>
            </w:hyperlink>
          </w:p>
        </w:tc>
        <w:tc>
          <w:tcPr>
            <w:tcW w:w="11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auto"/>
                <w:w w:val="99"/>
              </w:rPr>
              <w:t>S-1</w:t>
            </w: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8"/>
              </w:rPr>
              <w:t>4.1</w:t>
            </w: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3"/>
                <w:szCs w:val="13"/>
                <w:color w:val="auto"/>
                <w:w w:val="99"/>
              </w:rPr>
              <w:t>June 12, 2013</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333-188595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80" w:type="dxa"/>
            <w:vAlign w:val="bottom"/>
          </w:tcPr>
          <w:p>
            <w:pPr>
              <w:spacing w:after="0"/>
              <w:rPr>
                <w:sz w:val="24"/>
                <w:szCs w:val="24"/>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w:t>
            </w:r>
          </w:p>
        </w:tc>
        <w:tc>
          <w:tcPr>
            <w:tcW w:w="480" w:type="dxa"/>
            <w:vAlign w:val="bottom"/>
          </w:tcPr>
          <w:p>
            <w:pPr>
              <w:spacing w:after="0"/>
              <w:rPr>
                <w:sz w:val="24"/>
                <w:szCs w:val="24"/>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First Supplemental Indenture, dated as of January 27, 2025</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80" w:type="dxa"/>
            <w:vAlign w:val="bottom"/>
          </w:tcPr>
          <w:p>
            <w:pPr>
              <w:spacing w:after="0"/>
              <w:rPr>
                <w:sz w:val="20"/>
                <w:szCs w:val="20"/>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rPr>
              <w:t>31.</w:t>
            </w:r>
            <w:r>
              <w:rPr>
                <w:rFonts w:ascii="Times New Roman" w:cs="Times New Roman" w:eastAsia="Times New Roman" w:hAnsi="Times New Roman"/>
                <w:sz w:val="13"/>
                <w:szCs w:val="13"/>
                <w:u w:val="single" w:color="auto"/>
                <w:color w:val="0000FF"/>
              </w:rPr>
              <w:t>1*</w:t>
            </w:r>
          </w:p>
        </w:tc>
        <w:tc>
          <w:tcPr>
            <w:tcW w:w="480" w:type="dxa"/>
            <w:vAlign w:val="bottom"/>
          </w:tcPr>
          <w:p>
            <w:pPr>
              <w:spacing w:after="0"/>
              <w:rPr>
                <w:sz w:val="20"/>
                <w:szCs w:val="20"/>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Certification of Principal Executive Officer pursuant to Rule 13a-14(a) and Rule 15d-</w:t>
            </w: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900" w:type="dxa"/>
            <w:vAlign w:val="bottom"/>
            <w:tcBorders>
              <w:right w:val="single" w:sz="8" w:color="0000FF"/>
            </w:tcBorders>
            <w:gridSpan w:val="7"/>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0" w:type="dxa"/>
            <w:vAlign w:val="bottom"/>
            <w:gridSpan w:val="18"/>
          </w:tcPr>
          <w:p>
            <w:pPr>
              <w:spacing w:after="0" w:line="107" w:lineRule="exact"/>
              <w:rPr>
                <w:sz w:val="20"/>
                <w:szCs w:val="20"/>
                <w:color w:val="auto"/>
              </w:rPr>
            </w:pPr>
            <w:r>
              <w:rPr>
                <w:rFonts w:ascii="Times New Roman" w:cs="Times New Roman" w:eastAsia="Times New Roman" w:hAnsi="Times New Roman"/>
                <w:sz w:val="12"/>
                <w:szCs w:val="12"/>
                <w:color w:val="0000FF"/>
              </w:rPr>
              <w:t>14(a) of the Securities Exchange Act of 1934, as adopted pursuant to Section 302 of the</w:t>
            </w:r>
          </w:p>
        </w:tc>
        <w:tc>
          <w:tcPr>
            <w:tcW w:w="1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60" w:type="dxa"/>
            <w:vAlign w:val="bottom"/>
            <w:tcBorders>
              <w:top w:val="single" w:sz="8" w:color="0000FF"/>
              <w:bottom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Sarbanes-Oxley Act of 2002</w:t>
            </w:r>
          </w:p>
        </w:tc>
        <w:tc>
          <w:tcPr>
            <w:tcW w:w="3040" w:type="dxa"/>
            <w:vAlign w:val="bottom"/>
            <w:tcBorders>
              <w:top w:val="single" w:sz="8" w:color="0000FF"/>
            </w:tcBorders>
            <w:gridSpan w:val="11"/>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80" w:type="dxa"/>
            <w:vAlign w:val="bottom"/>
            <w:gridSpan w:val="4"/>
          </w:tcPr>
          <w:p>
            <w:pPr>
              <w:jc w:val="center"/>
              <w:ind w:left="317"/>
              <w:spacing w:after="0"/>
              <w:rPr>
                <w:sz w:val="20"/>
                <w:szCs w:val="20"/>
                <w:color w:val="auto"/>
              </w:rPr>
            </w:pPr>
            <w:r>
              <w:rPr>
                <w:rFonts w:ascii="Times New Roman" w:cs="Times New Roman" w:eastAsia="Times New Roman" w:hAnsi="Times New Roman"/>
                <w:sz w:val="13"/>
                <w:szCs w:val="13"/>
                <w:color w:val="0000FF"/>
              </w:rPr>
              <w:t>31.</w:t>
            </w:r>
            <w:r>
              <w:rPr>
                <w:rFonts w:ascii="Times New Roman" w:cs="Times New Roman" w:eastAsia="Times New Roman" w:hAnsi="Times New Roman"/>
                <w:sz w:val="13"/>
                <w:szCs w:val="13"/>
                <w:u w:val="single" w:color="auto"/>
                <w:color w:val="0000FF"/>
              </w:rPr>
              <w:t>2*</w:t>
            </w:r>
          </w:p>
        </w:tc>
        <w:tc>
          <w:tcPr>
            <w:tcW w:w="480" w:type="dxa"/>
            <w:vAlign w:val="bottom"/>
          </w:tcPr>
          <w:p>
            <w:pPr>
              <w:spacing w:after="0"/>
              <w:rPr>
                <w:sz w:val="23"/>
                <w:szCs w:val="23"/>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Certification of Principal Financial Officer pursuant to Rule 13a-14(a) and Rule 15d-</w:t>
            </w:r>
          </w:p>
        </w:tc>
        <w:tc>
          <w:tcPr>
            <w:tcW w:w="1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80" w:type="dxa"/>
            <w:vAlign w:val="bottom"/>
          </w:tcPr>
          <w:p>
            <w:pPr>
              <w:spacing w:after="0"/>
              <w:rPr>
                <w:sz w:val="9"/>
                <w:szCs w:val="9"/>
                <w:color w:val="auto"/>
              </w:rPr>
            </w:pPr>
          </w:p>
        </w:tc>
        <w:tc>
          <w:tcPr>
            <w:tcW w:w="4360" w:type="dxa"/>
            <w:vAlign w:val="bottom"/>
            <w:tcBorders>
              <w:top w:val="single" w:sz="8" w:color="0000FF"/>
            </w:tcBorders>
            <w:gridSpan w:val="12"/>
          </w:tcPr>
          <w:p>
            <w:pPr>
              <w:spacing w:after="0" w:line="107" w:lineRule="exact"/>
              <w:rPr>
                <w:sz w:val="20"/>
                <w:szCs w:val="20"/>
                <w:color w:val="auto"/>
              </w:rPr>
            </w:pPr>
            <w:r>
              <w:rPr>
                <w:rFonts w:ascii="Times New Roman" w:cs="Times New Roman" w:eastAsia="Times New Roman" w:hAnsi="Times New Roman"/>
                <w:sz w:val="12"/>
                <w:szCs w:val="12"/>
                <w:color w:val="0000FF"/>
              </w:rPr>
              <w:t>14(a) of the Securities Exchange Act of 1934, as adopted pursuant to Section 302 of</w:t>
            </w:r>
          </w:p>
        </w:tc>
        <w:tc>
          <w:tcPr>
            <w:tcW w:w="240" w:type="dxa"/>
            <w:vAlign w:val="bottom"/>
            <w:gridSpan w:val="6"/>
          </w:tcPr>
          <w:p>
            <w:pPr>
              <w:spacing w:after="0" w:line="107" w:lineRule="exact"/>
              <w:rPr>
                <w:sz w:val="20"/>
                <w:szCs w:val="20"/>
                <w:color w:val="auto"/>
              </w:rPr>
            </w:pPr>
            <w:r>
              <w:rPr>
                <w:rFonts w:ascii="Times New Roman" w:cs="Times New Roman" w:eastAsia="Times New Roman" w:hAnsi="Times New Roman"/>
                <w:sz w:val="12"/>
                <w:szCs w:val="12"/>
                <w:color w:val="0000FF"/>
              </w:rPr>
              <w:t>the</w:t>
            </w:r>
          </w:p>
        </w:tc>
        <w:tc>
          <w:tcPr>
            <w:tcW w:w="1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60" w:type="dxa"/>
            <w:vAlign w:val="bottom"/>
            <w:tcBorders>
              <w:top w:val="single" w:sz="8" w:color="0000FF"/>
              <w:bottom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Sarbanes-Oxley Act of 2002</w:t>
            </w:r>
          </w:p>
        </w:tc>
        <w:tc>
          <w:tcPr>
            <w:tcW w:w="3040" w:type="dxa"/>
            <w:vAlign w:val="bottom"/>
            <w:tcBorders>
              <w:top w:val="single" w:sz="8" w:color="0000FF"/>
            </w:tcBorders>
            <w:gridSpan w:val="11"/>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680" w:type="dxa"/>
            <w:vAlign w:val="bottom"/>
            <w:gridSpan w:val="4"/>
          </w:tcPr>
          <w:p>
            <w:pPr>
              <w:jc w:val="center"/>
              <w:ind w:left="317"/>
              <w:spacing w:after="0"/>
              <w:rPr>
                <w:sz w:val="20"/>
                <w:szCs w:val="20"/>
                <w:color w:val="auto"/>
              </w:rPr>
            </w:pPr>
            <w:r>
              <w:rPr>
                <w:rFonts w:ascii="Times New Roman" w:cs="Times New Roman" w:eastAsia="Times New Roman" w:hAnsi="Times New Roman"/>
                <w:sz w:val="13"/>
                <w:szCs w:val="13"/>
                <w:color w:val="0000FF"/>
                <w:w w:val="97"/>
              </w:rPr>
              <w:t>32.</w:t>
            </w:r>
            <w:r>
              <w:rPr>
                <w:rFonts w:ascii="Times New Roman" w:cs="Times New Roman" w:eastAsia="Times New Roman" w:hAnsi="Times New Roman"/>
                <w:sz w:val="13"/>
                <w:szCs w:val="13"/>
                <w:u w:val="single" w:color="auto"/>
                <w:color w:val="0000FF"/>
                <w:w w:val="97"/>
              </w:rPr>
              <w:t>1</w:t>
            </w:r>
            <w:r>
              <w:rPr>
                <w:rFonts w:ascii="Times New Roman" w:cs="Times New Roman" w:eastAsia="Times New Roman" w:hAnsi="Times New Roman"/>
                <w:sz w:val="14"/>
                <w:szCs w:val="14"/>
                <w:color w:val="0000FF"/>
                <w:w w:val="97"/>
              </w:rPr>
              <w:t>+</w:t>
            </w:r>
          </w:p>
        </w:tc>
        <w:tc>
          <w:tcPr>
            <w:tcW w:w="480" w:type="dxa"/>
            <w:vAlign w:val="bottom"/>
          </w:tcPr>
          <w:p>
            <w:pPr>
              <w:spacing w:after="0"/>
              <w:rPr>
                <w:sz w:val="22"/>
                <w:szCs w:val="22"/>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Certifications of Principal Executive Officer and Principal Financial Officer pursuant to</w:t>
            </w:r>
          </w:p>
        </w:tc>
        <w:tc>
          <w:tcPr>
            <w:tcW w:w="1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380" w:type="dxa"/>
            <w:vAlign w:val="bottom"/>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480" w:type="dxa"/>
            <w:vAlign w:val="bottom"/>
          </w:tcPr>
          <w:p>
            <w:pPr>
              <w:spacing w:after="0"/>
              <w:rPr>
                <w:sz w:val="7"/>
                <w:szCs w:val="7"/>
                <w:color w:val="auto"/>
              </w:rPr>
            </w:pPr>
          </w:p>
        </w:tc>
        <w:tc>
          <w:tcPr>
            <w:tcW w:w="4520" w:type="dxa"/>
            <w:vAlign w:val="bottom"/>
            <w:tcBorders>
              <w:top w:val="single" w:sz="8" w:color="0000FF"/>
            </w:tcBorders>
            <w:gridSpan w:val="17"/>
          </w:tcPr>
          <w:p>
            <w:pPr>
              <w:spacing w:after="0" w:line="88" w:lineRule="exact"/>
              <w:rPr>
                <w:sz w:val="20"/>
                <w:szCs w:val="20"/>
                <w:color w:val="auto"/>
              </w:rPr>
            </w:pPr>
            <w:r>
              <w:rPr>
                <w:rFonts w:ascii="Times New Roman" w:cs="Times New Roman" w:eastAsia="Times New Roman" w:hAnsi="Times New Roman"/>
                <w:sz w:val="10"/>
                <w:szCs w:val="10"/>
                <w:color w:val="0000FF"/>
              </w:rPr>
              <w:t>18 U.S.C. Section 1350, as adopted pursuant to Section 906 of the Sarbanes-Oxley Act</w:t>
            </w: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380" w:type="dxa"/>
            <w:vAlign w:val="bottom"/>
            <w:tcBorders>
              <w:top w:val="single" w:sz="8" w:color="0000FF"/>
              <w:bottom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w w:val="97"/>
              </w:rPr>
              <w:t>of 2002</w:t>
            </w:r>
          </w:p>
        </w:tc>
        <w:tc>
          <w:tcPr>
            <w:tcW w:w="4060" w:type="dxa"/>
            <w:vAlign w:val="bottom"/>
            <w:tcBorders>
              <w:top w:val="single" w:sz="8" w:color="0000FF"/>
            </w:tcBorders>
            <w:gridSpan w:val="12"/>
          </w:tcPr>
          <w:p>
            <w:pPr>
              <w:spacing w:after="0"/>
              <w:rPr>
                <w:sz w:val="9"/>
                <w:szCs w:val="9"/>
                <w:color w:val="auto"/>
              </w:rPr>
            </w:pPr>
          </w:p>
        </w:tc>
        <w:tc>
          <w:tcPr>
            <w:tcW w:w="140" w:type="dxa"/>
            <w:vAlign w:val="bottom"/>
            <w:gridSpan w:val="4"/>
          </w:tcPr>
          <w:p>
            <w:pPr>
              <w:spacing w:after="0"/>
              <w:rPr>
                <w:sz w:val="9"/>
                <w:szCs w:val="9"/>
                <w:color w:val="auto"/>
              </w:rPr>
            </w:pPr>
          </w:p>
        </w:tc>
        <w:tc>
          <w:tcPr>
            <w:tcW w:w="1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11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color w:val="auto"/>
                <w:w w:val="98"/>
              </w:rPr>
              <w:t>101.SCH*</w:t>
            </w:r>
          </w:p>
        </w:tc>
        <w:tc>
          <w:tcPr>
            <w:tcW w:w="460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color w:val="auto"/>
                <w:w w:val="97"/>
              </w:rPr>
              <w:t>101.CAL*</w:t>
            </w:r>
          </w:p>
        </w:tc>
        <w:tc>
          <w:tcPr>
            <w:tcW w:w="460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1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color w:val="auto"/>
                <w:w w:val="97"/>
              </w:rPr>
              <w:t>101.LAB*</w:t>
            </w:r>
          </w:p>
        </w:tc>
        <w:tc>
          <w:tcPr>
            <w:tcW w:w="460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1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6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color w:val="auto"/>
                <w:w w:val="97"/>
              </w:rPr>
              <w:t>101.PRE*</w:t>
            </w:r>
          </w:p>
        </w:tc>
        <w:tc>
          <w:tcPr>
            <w:tcW w:w="460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color w:val="auto"/>
              </w:rPr>
              <w:t>101.DEF*</w:t>
            </w:r>
          </w:p>
        </w:tc>
        <w:tc>
          <w:tcPr>
            <w:tcW w:w="460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104*</w:t>
            </w:r>
          </w:p>
        </w:tc>
        <w:tc>
          <w:tcPr>
            <w:tcW w:w="480" w:type="dxa"/>
            <w:vAlign w:val="bottom"/>
          </w:tcPr>
          <w:p>
            <w:pPr>
              <w:spacing w:after="0"/>
              <w:rPr>
                <w:sz w:val="24"/>
                <w:szCs w:val="24"/>
                <w:color w:val="auto"/>
              </w:rPr>
            </w:pPr>
          </w:p>
        </w:tc>
        <w:tc>
          <w:tcPr>
            <w:tcW w:w="7140" w:type="dxa"/>
            <w:vAlign w:val="bottom"/>
            <w:gridSpan w:val="20"/>
          </w:tcPr>
          <w:p>
            <w:pPr>
              <w:spacing w:after="0"/>
              <w:rPr>
                <w:sz w:val="20"/>
                <w:szCs w:val="20"/>
                <w:color w:val="auto"/>
              </w:rPr>
            </w:pPr>
            <w:r>
              <w:rPr>
                <w:rFonts w:ascii="Times New Roman" w:cs="Times New Roman" w:eastAsia="Times New Roman" w:hAnsi="Times New Roman"/>
                <w:sz w:val="13"/>
                <w:szCs w:val="13"/>
                <w:color w:val="auto"/>
                <w:w w:val="98"/>
              </w:rPr>
              <w:t>Cover Page Interactive Data File (formatted as inline XBRL with applicable taxonomy extension information contained in Exhibits 101.*)</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700" w:hanging="250"/>
        <w:spacing w:after="0"/>
        <w:tabs>
          <w:tab w:leader="none" w:pos="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125" w:right="6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700" w:hanging="250"/>
        <w:spacing w:after="0" w:line="287" w:lineRule="auto"/>
        <w:tabs>
          <w:tab w:leader="none" w:pos="66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8120" w:type="dxa"/>
            <w:vAlign w:val="bottom"/>
            <w:gridSpan w:val="2"/>
          </w:tcPr>
          <w:p>
            <w:pPr>
              <w:ind w:left="2400"/>
              <w:spacing w:after="0"/>
              <w:rPr>
                <w:sz w:val="20"/>
                <w:szCs w:val="20"/>
                <w:color w:val="auto"/>
              </w:rPr>
            </w:pPr>
            <w:r>
              <w:rPr>
                <w:rFonts w:ascii="Times New Roman" w:cs="Times New Roman" w:eastAsia="Times New Roman" w:hAnsi="Times New Roman"/>
                <w:sz w:val="14"/>
                <w:szCs w:val="14"/>
                <w:color w:val="auto"/>
              </w:rPr>
              <w:t>ESPERION THERAPEUTICS, INC.</w:t>
            </w:r>
          </w:p>
        </w:tc>
      </w:tr>
      <w:tr>
        <w:trPr>
          <w:trHeight w:val="605"/>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May 8, 2025</w:t>
            </w:r>
          </w:p>
        </w:tc>
        <w:tc>
          <w:tcPr>
            <w:tcW w:w="286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Sheldon L. Koenig</w:t>
            </w:r>
          </w:p>
        </w:tc>
      </w:tr>
      <w:tr>
        <w:trPr>
          <w:trHeight w:val="165"/>
        </w:trPr>
        <w:tc>
          <w:tcPr>
            <w:tcW w:w="3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Sheldon L. Koenig</w:t>
            </w:r>
          </w:p>
        </w:tc>
      </w:tr>
      <w:tr>
        <w:trPr>
          <w:trHeight w:val="180"/>
        </w:trPr>
        <w:tc>
          <w:tcPr>
            <w:tcW w:w="31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r>
        <w:trPr>
          <w:trHeight w:val="186"/>
        </w:trPr>
        <w:tc>
          <w:tcPr>
            <w:tcW w:w="3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509"/>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May 8, 2025</w:t>
            </w:r>
          </w:p>
        </w:tc>
        <w:tc>
          <w:tcPr>
            <w:tcW w:w="286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Benjamin Halladay</w:t>
            </w:r>
          </w:p>
        </w:tc>
      </w:tr>
      <w:tr>
        <w:trPr>
          <w:trHeight w:val="165"/>
        </w:trPr>
        <w:tc>
          <w:tcPr>
            <w:tcW w:w="3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Benjamin Halladay</w:t>
            </w:r>
          </w:p>
        </w:tc>
      </w:tr>
      <w:tr>
        <w:trPr>
          <w:trHeight w:val="180"/>
        </w:trPr>
        <w:tc>
          <w:tcPr>
            <w:tcW w:w="31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186"/>
        </w:trPr>
        <w:tc>
          <w:tcPr>
            <w:tcW w:w="3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260"/>
          </w:cols>
          <w:pgMar w:left="300" w:top="125" w:right="339" w:bottom="1440"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 Sheldon L. Koenig, certify that:</w:t>
      </w:r>
    </w:p>
    <w:p>
      <w:pPr>
        <w:spacing w:after="0" w:line="179" w:lineRule="exact"/>
        <w:rPr>
          <w:sz w:val="20"/>
          <w:szCs w:val="20"/>
          <w:color w:val="auto"/>
        </w:rPr>
      </w:pPr>
    </w:p>
    <w:p>
      <w:pPr>
        <w:ind w:left="380" w:hanging="375"/>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March 31, 2025, of Esperion Therapeutics, Inc.;</w:t>
      </w:r>
    </w:p>
    <w:p>
      <w:pPr>
        <w:spacing w:after="0" w:line="178"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120" w:hanging="375"/>
        <w:spacing w:after="0" w:line="287"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60" w:right="40" w:hanging="373"/>
        <w:spacing w:after="0" w:line="287" w:lineRule="auto"/>
        <w:tabs>
          <w:tab w:leader="none" w:pos="75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right="240" w:hanging="373"/>
        <w:spacing w:after="0" w:line="287" w:lineRule="auto"/>
        <w:tabs>
          <w:tab w:leader="none" w:pos="7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right="420" w:hanging="373"/>
        <w:spacing w:after="0" w:line="287" w:lineRule="auto"/>
        <w:tabs>
          <w:tab w:leader="none" w:pos="75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right="60" w:hanging="373"/>
        <w:spacing w:after="0" w:line="287" w:lineRule="auto"/>
        <w:tabs>
          <w:tab w:leader="none" w:pos="7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500" w:hanging="375"/>
        <w:spacing w:after="0" w:line="287"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right="120" w:hanging="373"/>
        <w:spacing w:after="0" w:line="287" w:lineRule="auto"/>
        <w:tabs>
          <w:tab w:leader="none" w:pos="75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5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May 8, 2025</w:t>
            </w: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Sheldon L. Koenig</w:t>
            </w:r>
          </w:p>
        </w:tc>
      </w:tr>
      <w:tr>
        <w:trPr>
          <w:trHeight w:val="165"/>
        </w:trPr>
        <w:tc>
          <w:tcPr>
            <w:tcW w:w="4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Sheldon L. Koenig</w:t>
            </w:r>
          </w:p>
        </w:tc>
      </w:tr>
      <w:tr>
        <w:trPr>
          <w:trHeight w:val="180"/>
        </w:trPr>
        <w:tc>
          <w:tcPr>
            <w:tcW w:w="4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r>
        <w:trPr>
          <w:trHeight w:val="186"/>
        </w:trPr>
        <w:tc>
          <w:tcPr>
            <w:tcW w:w="48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123"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 Benjamin Halladay, certify that:</w:t>
      </w:r>
    </w:p>
    <w:p>
      <w:pPr>
        <w:spacing w:after="0" w:line="179" w:lineRule="exact"/>
        <w:rPr>
          <w:sz w:val="20"/>
          <w:szCs w:val="20"/>
          <w:color w:val="auto"/>
        </w:rPr>
      </w:pPr>
    </w:p>
    <w:p>
      <w:pPr>
        <w:ind w:left="380" w:hanging="375"/>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March 31, 2025, of Esperion Therapeutics, Inc.;</w:t>
      </w:r>
    </w:p>
    <w:p>
      <w:pPr>
        <w:spacing w:after="0" w:line="178"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120" w:hanging="375"/>
        <w:spacing w:after="0" w:line="287"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60" w:right="40" w:hanging="373"/>
        <w:spacing w:after="0" w:line="287" w:lineRule="auto"/>
        <w:tabs>
          <w:tab w:leader="none" w:pos="75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right="240" w:hanging="373"/>
        <w:spacing w:after="0" w:line="287" w:lineRule="auto"/>
        <w:tabs>
          <w:tab w:leader="none" w:pos="7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right="420" w:hanging="373"/>
        <w:spacing w:after="0" w:line="287" w:lineRule="auto"/>
        <w:tabs>
          <w:tab w:leader="none" w:pos="75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right="60" w:hanging="373"/>
        <w:spacing w:after="0" w:line="287" w:lineRule="auto"/>
        <w:tabs>
          <w:tab w:leader="none" w:pos="7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500" w:hanging="375"/>
        <w:spacing w:after="0" w:line="287"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right="120" w:hanging="373"/>
        <w:spacing w:after="0" w:line="287" w:lineRule="auto"/>
        <w:tabs>
          <w:tab w:leader="none" w:pos="75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May 8, 2025</w:t>
            </w:r>
          </w:p>
        </w:tc>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Benjamin Halladay</w:t>
            </w:r>
          </w:p>
        </w:tc>
      </w:tr>
      <w:tr>
        <w:trPr>
          <w:trHeight w:val="165"/>
        </w:trPr>
        <w:tc>
          <w:tcPr>
            <w:tcW w:w="4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Benjamin Halladay</w:t>
            </w:r>
          </w:p>
        </w:tc>
      </w:tr>
      <w:tr>
        <w:trPr>
          <w:trHeight w:val="180"/>
        </w:trPr>
        <w:tc>
          <w:tcPr>
            <w:tcW w:w="4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186"/>
        </w:trPr>
        <w:tc>
          <w:tcPr>
            <w:tcW w:w="4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r>
    </w:tbl>
    <w:p>
      <w:pPr>
        <w:sectPr>
          <w:pgSz w:w="11900" w:h="16838" w:orient="portrait"/>
          <w:cols w:equalWidth="0" w:num="1">
            <w:col w:w="11280"/>
          </w:cols>
          <w:pgMar w:left="300" w:top="123" w:right="3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Esperion Therapeutics, Inc. (the “Company”) for the period ended March 31, 2025,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spacing w:after="0" w:line="136" w:lineRule="exact"/>
        <w:rPr>
          <w:sz w:val="20"/>
          <w:szCs w:val="20"/>
          <w:color w:val="auto"/>
        </w:rPr>
      </w:pPr>
    </w:p>
    <w:p>
      <w:pPr>
        <w:ind w:left="500" w:hanging="495"/>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which this statement accompanies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May 8, 2025</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Sheldon L. Koenig</w:t>
            </w:r>
          </w:p>
        </w:tc>
      </w:tr>
      <w:tr>
        <w:trPr>
          <w:trHeight w:val="175"/>
        </w:trPr>
        <w:tc>
          <w:tcPr>
            <w:tcW w:w="4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Sheldon L. Koenig</w:t>
            </w:r>
          </w:p>
        </w:tc>
      </w:tr>
    </w:tbl>
    <w:p>
      <w:pPr>
        <w:ind w:left="53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1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auto"/>
        </w:rPr>
        <w:t>/s/ Benjamin Halladay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14605</wp:posOffset>
            </wp:positionV>
            <wp:extent cx="377317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773170" cy="6985"/>
                    </a:xfrm>
                    <a:prstGeom prst="rect">
                      <a:avLst/>
                    </a:prstGeom>
                    <a:noFill/>
                  </pic:spPr>
                </pic:pic>
              </a:graphicData>
            </a:graphic>
          </wp:anchor>
        </w:drawing>
      </w:r>
    </w:p>
    <w:p>
      <w:pPr>
        <w:spacing w:after="0" w:line="1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auto"/>
        </w:rPr>
        <w:t>Benjamin Halladay</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1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55" Type="http://schemas.openxmlformats.org/officeDocument/2006/relationships/hyperlink" Target="https://www.sec.gov/Archives/edgar/data/1434868/000104746913006896/a2215641zex-3_2.htm" TargetMode="External"/><Relationship Id="rId56" Type="http://schemas.openxmlformats.org/officeDocument/2006/relationships/hyperlink" Target="https://www.sec.gov/Archives/edgar/data/1434868/000162828022015488/exhibit31.htm" TargetMode="External"/><Relationship Id="rId57" Type="http://schemas.openxmlformats.org/officeDocument/2006/relationships/hyperlink" Target="https://www.sec.gov/Archives/edgar/data/1434868/000162828022025245/exhibit31certificateofvali.htm" TargetMode="External"/><Relationship Id="rId58" Type="http://schemas.openxmlformats.org/officeDocument/2006/relationships/hyperlink" Target="https://www.sec.gov/Archives/edgar/data/1434868/000162828023022276/exhibit3162023.htm" TargetMode="External"/><Relationship Id="rId59" Type="http://schemas.openxmlformats.org/officeDocument/2006/relationships/hyperlink" Target="https://www.sec.gov/Archives/edgar/data/1434868/000162828021008918/ex31-secondamendedandresta.htm" TargetMode="External"/><Relationship Id="rId60" Type="http://schemas.openxmlformats.org/officeDocument/2006/relationships/hyperlink" Target="https://www.sec.gov/Archives/edgar/data/1434868/000104746913006896/a2215641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2025-05-08T08:12:00Z</dcterms:created>
  <dcterms:modified xsi:type="dcterms:W3CDTF">2025-05-08T08:12:00Z</dcterms:modified>
</cp:coreProperties>
</file>