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405765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431800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60325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1" w:lineRule="exact"/>
        <w:rPr>
          <w:sz w:val="24"/>
          <w:szCs w:val="24"/>
          <w:color w:val="auto"/>
        </w:rPr>
      </w:pPr>
    </w:p>
    <w:p>
      <w:pPr>
        <w:ind w:left="1600" w:hanging="562"/>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ind w:left="1600" w:hanging="562"/>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7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Commission file number: 001-35986</w:t>
            </w:r>
          </w:p>
        </w:tc>
        <w:tc>
          <w:tcPr>
            <w:tcW w:w="4300" w:type="dxa"/>
            <w:vAlign w:val="bottom"/>
          </w:tcPr>
          <w:p>
            <w:pPr>
              <w:spacing w:after="0"/>
              <w:rPr>
                <w:sz w:val="24"/>
                <w:szCs w:val="24"/>
                <w:color w:val="auto"/>
              </w:rPr>
            </w:pPr>
          </w:p>
        </w:tc>
      </w:tr>
      <w:tr>
        <w:trPr>
          <w:trHeight w:val="411"/>
        </w:trPr>
        <w:tc>
          <w:tcPr>
            <w:tcW w:w="3680" w:type="dxa"/>
            <w:vAlign w:val="bottom"/>
          </w:tcPr>
          <w:p>
            <w:pPr>
              <w:spacing w:after="0"/>
              <w:rPr>
                <w:sz w:val="24"/>
                <w:szCs w:val="24"/>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32"/>
                <w:szCs w:val="32"/>
                <w:b w:val="1"/>
                <w:bCs w:val="1"/>
                <w:color w:val="auto"/>
              </w:rPr>
              <w:t>Esperion Therapeutics, Inc.</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24"/>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spacing w:after="0"/>
              <w:rPr>
                <w:sz w:val="24"/>
                <w:szCs w:val="24"/>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b w:val="1"/>
                <w:bCs w:val="1"/>
                <w:color w:val="auto"/>
              </w:rPr>
              <w:t>26-1870780</w:t>
            </w:r>
          </w:p>
        </w:tc>
      </w:tr>
      <w:tr>
        <w:trPr>
          <w:trHeight w:val="168"/>
        </w:trPr>
        <w:tc>
          <w:tcPr>
            <w:tcW w:w="3680" w:type="dxa"/>
            <w:vAlign w:val="bottom"/>
          </w:tcPr>
          <w:p>
            <w:pPr>
              <w:jc w:val="center"/>
              <w:ind w:left="1642"/>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20" w:type="dxa"/>
            <w:vAlign w:val="bottom"/>
          </w:tcPr>
          <w:p>
            <w:pPr>
              <w:spacing w:after="0"/>
              <w:rPr>
                <w:sz w:val="14"/>
                <w:szCs w:val="14"/>
                <w:color w:val="auto"/>
              </w:rPr>
            </w:pPr>
          </w:p>
        </w:tc>
        <w:tc>
          <w:tcPr>
            <w:tcW w:w="4300" w:type="dxa"/>
            <w:vAlign w:val="bottom"/>
          </w:tcPr>
          <w:p>
            <w:pPr>
              <w:jc w:val="center"/>
              <w:ind w:right="1022"/>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20" w:type="dxa"/>
            <w:vAlign w:val="bottom"/>
          </w:tcPr>
          <w:p>
            <w:pPr>
              <w:spacing w:after="0"/>
              <w:rPr>
                <w:sz w:val="18"/>
                <w:szCs w:val="18"/>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3891 Ranchero Drive, Suite 150</w:t>
            </w:r>
          </w:p>
        </w:tc>
        <w:tc>
          <w:tcPr>
            <w:tcW w:w="4300" w:type="dxa"/>
            <w:vAlign w:val="bottom"/>
          </w:tcPr>
          <w:p>
            <w:pPr>
              <w:spacing w:after="0"/>
              <w:rPr>
                <w:sz w:val="24"/>
                <w:szCs w:val="24"/>
                <w:color w:val="auto"/>
              </w:rPr>
            </w:pPr>
          </w:p>
        </w:tc>
      </w:tr>
      <w:tr>
        <w:trPr>
          <w:trHeight w:val="204"/>
        </w:trPr>
        <w:tc>
          <w:tcPr>
            <w:tcW w:w="3680" w:type="dxa"/>
            <w:vAlign w:val="bottom"/>
          </w:tcPr>
          <w:p>
            <w:pPr>
              <w:spacing w:after="0"/>
              <w:rPr>
                <w:sz w:val="17"/>
                <w:szCs w:val="17"/>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Ann Arbor, MI 48108</w:t>
            </w:r>
          </w:p>
        </w:tc>
        <w:tc>
          <w:tcPr>
            <w:tcW w:w="4300" w:type="dxa"/>
            <w:vAlign w:val="bottom"/>
          </w:tcPr>
          <w:p>
            <w:pPr>
              <w:spacing w:after="0"/>
              <w:rPr>
                <w:sz w:val="17"/>
                <w:szCs w:val="17"/>
                <w:color w:val="auto"/>
              </w:rPr>
            </w:pPr>
          </w:p>
        </w:tc>
      </w:tr>
      <w:tr>
        <w:trPr>
          <w:trHeight w:val="189"/>
        </w:trPr>
        <w:tc>
          <w:tcPr>
            <w:tcW w:w="3680" w:type="dxa"/>
            <w:vAlign w:val="bottom"/>
          </w:tcPr>
          <w:p>
            <w:pPr>
              <w:spacing w:after="0"/>
              <w:rPr>
                <w:sz w:val="16"/>
                <w:szCs w:val="16"/>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(Address of principal executive office) (Zip Code)</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08"/>
        </w:trPr>
        <w:tc>
          <w:tcPr>
            <w:tcW w:w="3680" w:type="dxa"/>
            <w:vAlign w:val="bottom"/>
          </w:tcPr>
          <w:p>
            <w:pPr>
              <w:spacing w:after="0"/>
              <w:rPr>
                <w:sz w:val="18"/>
                <w:szCs w:val="18"/>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(734) 887-3903</w:t>
            </w:r>
          </w:p>
        </w:tc>
        <w:tc>
          <w:tcPr>
            <w:tcW w:w="4300" w:type="dxa"/>
            <w:vAlign w:val="bottom"/>
          </w:tcPr>
          <w:p>
            <w:pPr>
              <w:spacing w:after="0"/>
              <w:rPr>
                <w:sz w:val="18"/>
                <w:szCs w:val="18"/>
                <w:color w:val="auto"/>
              </w:rPr>
            </w:pPr>
          </w:p>
        </w:tc>
      </w:tr>
      <w:tr>
        <w:trPr>
          <w:trHeight w:val="210"/>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300" w:type="dxa"/>
            <w:vAlign w:val="bottom"/>
          </w:tcPr>
          <w:p>
            <w:pPr>
              <w:spacing w:after="0"/>
              <w:rPr>
                <w:sz w:val="18"/>
                <w:szCs w:val="18"/>
                <w:color w:val="auto"/>
              </w:rPr>
            </w:pPr>
          </w:p>
        </w:tc>
      </w:tr>
      <w:tr>
        <w:trPr>
          <w:trHeight w:val="307"/>
        </w:trPr>
        <w:tc>
          <w:tcPr>
            <w:tcW w:w="36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5"/>
        </w:trPr>
        <w:tc>
          <w:tcPr>
            <w:tcW w:w="3680" w:type="dxa"/>
            <w:vAlign w:val="bottom"/>
          </w:tcPr>
          <w:p>
            <w:pPr>
              <w:jc w:val="center"/>
              <w:ind w:right="182"/>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color w:val="auto"/>
              </w:rPr>
              <w:t>ESPR</w:t>
            </w:r>
          </w:p>
        </w:tc>
        <w:tc>
          <w:tcPr>
            <w:tcW w:w="4300" w:type="dxa"/>
            <w:vAlign w:val="bottom"/>
          </w:tcPr>
          <w:p>
            <w:pPr>
              <w:jc w:val="center"/>
              <w:ind w:left="802"/>
              <w:spacing w:after="0"/>
              <w:rPr>
                <w:sz w:val="20"/>
                <w:szCs w:val="20"/>
                <w:color w:val="auto"/>
              </w:rPr>
            </w:pPr>
            <w:r>
              <w:rPr>
                <w:rFonts w:ascii="Arial" w:cs="Arial" w:eastAsia="Arial" w:hAnsi="Arial"/>
                <w:sz w:val="14"/>
                <w:szCs w:val="14"/>
                <w:color w:val="auto"/>
              </w:rPr>
              <w:t xml:space="preserve">NASDAQ </w:t>
            </w:r>
            <w:r>
              <w:rPr>
                <w:rFonts w:ascii="Times New Roman" w:cs="Times New Roman" w:eastAsia="Times New Roman" w:hAnsi="Times New Roman"/>
                <w:sz w:val="14"/>
                <w:szCs w:val="14"/>
                <w:color w:val="auto"/>
              </w:rPr>
              <w:t>Stock Market LLC</w:t>
            </w:r>
          </w:p>
        </w:tc>
      </w:tr>
    </w:tbl>
    <w:p>
      <w:pPr>
        <w:spacing w:after="0" w:line="102"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14" w:lineRule="exact"/>
        <w:rPr>
          <w:sz w:val="24"/>
          <w:szCs w:val="24"/>
          <w:color w:val="auto"/>
        </w:rPr>
      </w:pPr>
    </w:p>
    <w:p>
      <w:pPr>
        <w:ind w:right="240"/>
        <w:spacing w:after="0" w:line="25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ind w:right="16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8" w:right="339" w:bottom="1440" w:gutter="0" w:footer="0" w:header="0"/>
        </w:sectPr>
      </w:pPr>
    </w:p>
    <w:p>
      <w:pPr>
        <w:spacing w:after="0" w:line="9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Arial" w:cs="Arial" w:eastAsia="Arial" w:hAnsi="Arial"/>
          <w:sz w:val="15"/>
          <w:szCs w:val="15"/>
          <w:color w:val="auto"/>
        </w:rPr>
        <w:t>o</w:t>
      </w:r>
    </w:p>
    <w:p>
      <w:pPr>
        <w:spacing w:after="0" w:line="96" w:lineRule="exact"/>
        <w:rPr>
          <w:sz w:val="24"/>
          <w:szCs w:val="24"/>
          <w:color w:val="auto"/>
        </w:rPr>
      </w:pPr>
    </w:p>
    <w:p>
      <w:pPr>
        <w:sectPr>
          <w:pgSz w:w="11900" w:h="16838" w:orient="portrait"/>
          <w:cols w:equalWidth="0" w:num="2">
            <w:col w:w="6800" w:space="720"/>
            <w:col w:w="3720"/>
          </w:cols>
          <w:pgMar w:left="320" w:top="988"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3">
            <w:col w:w="6080" w:space="720"/>
            <w:col w:w="1760" w:space="80"/>
            <w:col w:w="2600"/>
          </w:cols>
          <w:pgMar w:left="320" w:top="988" w:right="339" w:bottom="1440" w:gutter="0" w:footer="0" w:header="0"/>
          <w:type w:val="continuous"/>
        </w:sectPr>
      </w:pPr>
    </w:p>
    <w:p>
      <w:pPr>
        <w:ind w:left="684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Arial" w:cs="Arial" w:eastAsia="Arial" w:hAnsi="Arial"/>
          <w:sz w:val="15"/>
          <w:szCs w:val="15"/>
          <w:color w:val="auto"/>
        </w:rPr>
        <w:t>o</w:t>
      </w:r>
    </w:p>
    <w:p>
      <w:pPr>
        <w:sectPr>
          <w:pgSz w:w="11900" w:h="16838" w:orient="portrait"/>
          <w:cols w:equalWidth="0" w:num="1">
            <w:col w:w="11240"/>
          </w:cols>
          <w:pgMar w:left="320" w:top="988" w:right="339" w:bottom="1440" w:gutter="0" w:footer="0" w:header="0"/>
          <w:type w:val="continuous"/>
        </w:sectPr>
      </w:pPr>
    </w:p>
    <w:p>
      <w:pPr>
        <w:spacing w:after="0" w:line="124" w:lineRule="exact"/>
        <w:rPr>
          <w:sz w:val="24"/>
          <w:szCs w:val="24"/>
          <w:color w:val="auto"/>
        </w:rPr>
      </w:pPr>
    </w:p>
    <w:p>
      <w:pPr>
        <w:ind w:right="580"/>
        <w:spacing w:after="0" w:line="26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 w:lineRule="exact"/>
        <w:rPr>
          <w:sz w:val="24"/>
          <w:szCs w:val="24"/>
          <w:color w:val="auto"/>
        </w:rPr>
      </w:pPr>
    </w:p>
    <w:p>
      <w:pPr>
        <w:ind w:right="2980"/>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As of May 1, 2022, there were 63,006,619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398145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424180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40" w:type="dxa"/>
            <w:vAlign w:val="bottom"/>
            <w:gridSpan w:val="9"/>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40" w:type="dxa"/>
            <w:vAlign w:val="bottom"/>
            <w:gridSpan w:val="9"/>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Balance Sheets at March 31, 2022 and December 31, 202</w:t>
            </w:r>
            <w:r>
              <w:rPr>
                <w:rFonts w:ascii="Times New Roman" w:cs="Times New Roman" w:eastAsia="Times New Roman" w:hAnsi="Times New Roman"/>
                <w:sz w:val="18"/>
                <w:szCs w:val="18"/>
                <w:color w:val="0E32E1"/>
              </w:rPr>
              <w:t>1</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Statements of Operations and Comprehensive Loss for the three month periods ended March 31, 2022 and 2021</w:t>
            </w:r>
          </w:p>
        </w:tc>
        <w:tc>
          <w:tcPr>
            <w:tcW w:w="52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Statements of Stockholders’ Deficit for the three month periods ended March 31, 2022 and 2021</w:t>
            </w:r>
          </w:p>
        </w:tc>
        <w:tc>
          <w:tcPr>
            <w:tcW w:w="52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Statements of Cash Flows for the three month periods ended March 31, 2022 and 2021</w:t>
            </w:r>
          </w:p>
        </w:tc>
        <w:tc>
          <w:tcPr>
            <w:tcW w:w="1640" w:type="dxa"/>
            <w:vAlign w:val="bottom"/>
            <w:gridSpan w:val="2"/>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2340" w:type="dxa"/>
            <w:vAlign w:val="bottom"/>
            <w:gridSpan w:val="3"/>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0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6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3.</w:t>
            </w:r>
          </w:p>
        </w:tc>
        <w:tc>
          <w:tcPr>
            <w:tcW w:w="43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4"/>
          </w:tcPr>
          <w:p>
            <w:pPr>
              <w:spacing w:after="0"/>
              <w:rPr>
                <w:sz w:val="24"/>
                <w:szCs w:val="24"/>
                <w:color w:val="auto"/>
              </w:rPr>
            </w:pPr>
          </w:p>
        </w:tc>
        <w:tc>
          <w:tcPr>
            <w:tcW w:w="306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43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6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479"/>
        </w:trPr>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760" w:type="dxa"/>
            <w:vAlign w:val="bottom"/>
            <w:gridSpan w:val="11"/>
          </w:tcPr>
          <w:p>
            <w:pPr>
              <w:ind w:left="1240"/>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3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2940" w:type="dxa"/>
            <w:vAlign w:val="bottom"/>
            <w:tcBorders>
              <w:top w:val="single" w:sz="8" w:color="0000FF"/>
            </w:tcBorders>
            <w:gridSpan w:val="5"/>
          </w:tcPr>
          <w:p>
            <w:pPr>
              <w:spacing w:after="0"/>
              <w:rPr>
                <w:sz w:val="24"/>
                <w:szCs w:val="24"/>
                <w:color w:val="auto"/>
              </w:rPr>
            </w:pPr>
          </w:p>
        </w:tc>
        <w:tc>
          <w:tcPr>
            <w:tcW w:w="3580" w:type="dxa"/>
            <w:vAlign w:val="bottom"/>
            <w:gridSpan w:val="5"/>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200" w:type="dxa"/>
            <w:vAlign w:val="bottom"/>
            <w:gridSpan w:val="12"/>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50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420" w:type="dxa"/>
            <w:vAlign w:val="bottom"/>
          </w:tcPr>
          <w:p>
            <w:pPr>
              <w:spacing w:after="0"/>
              <w:rPr>
                <w:sz w:val="24"/>
                <w:szCs w:val="24"/>
                <w:color w:val="auto"/>
              </w:rPr>
            </w:pPr>
          </w:p>
        </w:tc>
        <w:tc>
          <w:tcPr>
            <w:tcW w:w="8500" w:type="dxa"/>
            <w:vAlign w:val="bottom"/>
            <w:gridSpan w:val="13"/>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92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340" w:type="dxa"/>
            <w:vAlign w:val="bottom"/>
          </w:tcPr>
          <w:p>
            <w:pPr>
              <w:spacing w:after="0"/>
              <w:rPr>
                <w:sz w:val="24"/>
                <w:szCs w:val="24"/>
                <w:color w:val="auto"/>
              </w:rPr>
            </w:pPr>
          </w:p>
        </w:tc>
        <w:tc>
          <w:tcPr>
            <w:tcW w:w="892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208,892</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clinical development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34,394</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prepaid and 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328,972</w:t>
            </w:r>
          </w:p>
        </w:tc>
      </w:tr>
      <w:tr>
        <w:trPr>
          <w:trHeight w:val="203"/>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clinical development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73,352</w:t>
            </w:r>
          </w:p>
        </w:tc>
      </w:tr>
      <w:tr>
        <w:trPr>
          <w:trHeight w:val="183"/>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notes, net of issuance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258,280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245,744</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578,534</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8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5,000,000 shares authorized and no shares issued or outstanding as of</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2022 and December 31, 2021</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120,000,000 shares authorized as of March 31, 2022 and December 31, 2021;</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63,052,765 shares issued at March 31, 2022 and 62,873,694 shares issued at December 31, 2021</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964,401</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1,994,198 shares at March 31, 2022 and December 31, 2021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(1,106,377)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(196,944)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680" w:type="dxa"/>
        <w:tblCellMar>
          <w:top w:w="0" w:type="dxa"/>
          <w:left w:w="0" w:type="dxa"/>
          <w:bottom w:w="0" w:type="dxa"/>
          <w:right w:w="0" w:type="dxa"/>
        </w:tblCellMar>
      </w:tblPr>
      <w:tr>
        <w:trPr>
          <w:trHeight w:val="200"/>
        </w:trPr>
        <w:tc>
          <w:tcPr>
            <w:tcW w:w="68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80" w:type="dxa"/>
            <w:vAlign w:val="bottom"/>
          </w:tcPr>
          <w:p>
            <w:pPr>
              <w:spacing w:after="0"/>
              <w:rPr>
                <w:sz w:val="19"/>
                <w:szCs w:val="19"/>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shd w:val="clear" w:color="auto" w:fill="CCEEFF"/>
          </w:tcPr>
          <w:p>
            <w:pPr>
              <w:spacing w:after="0"/>
              <w:rPr>
                <w:sz w:val="19"/>
                <w:szCs w:val="19"/>
                <w:color w:val="auto"/>
              </w:rPr>
            </w:pPr>
          </w:p>
        </w:tc>
      </w:tr>
      <w:tr>
        <w:trPr>
          <w:trHeight w:val="22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80" w:type="dxa"/>
            <w:vAlign w:val="bottom"/>
            <w:tcBorders>
              <w:bottom w:val="single" w:sz="8" w:color="CCEEFF"/>
            </w:tcBorders>
          </w:tcPr>
          <w:p>
            <w:pPr>
              <w:spacing w:after="0"/>
              <w:rPr>
                <w:sz w:val="19"/>
                <w:szCs w:val="19"/>
                <w:color w:val="auto"/>
              </w:rPr>
            </w:pPr>
          </w:p>
        </w:tc>
      </w:tr>
      <w:tr>
        <w:trPr>
          <w:trHeight w:val="250"/>
        </w:trPr>
        <w:tc>
          <w:tcPr>
            <w:tcW w:w="6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shd w:val="clear" w:color="auto" w:fill="CCEEFF"/>
          </w:tcPr>
          <w:p>
            <w:pPr>
              <w:spacing w:after="0"/>
              <w:rPr>
                <w:sz w:val="19"/>
                <w:szCs w:val="19"/>
                <w:color w:val="auto"/>
              </w:rPr>
            </w:pP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w:t>
            </w:r>
          </w:p>
        </w:tc>
        <w:tc>
          <w:tcPr>
            <w:tcW w:w="80" w:type="dxa"/>
            <w:vAlign w:val="bottom"/>
          </w:tcPr>
          <w:p>
            <w:pPr>
              <w:spacing w:after="0"/>
              <w:rPr>
                <w:sz w:val="19"/>
                <w:szCs w:val="19"/>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61,064</w:t>
            </w:r>
          </w:p>
        </w:tc>
        <w:tc>
          <w:tcPr>
            <w:tcW w:w="80" w:type="dxa"/>
            <w:vAlign w:val="bottom"/>
            <w:shd w:val="clear" w:color="auto" w:fill="CCEEFF"/>
          </w:tcPr>
          <w:p>
            <w:pPr>
              <w:spacing w:after="0"/>
              <w:rPr>
                <w:sz w:val="19"/>
                <w:szCs w:val="19"/>
                <w:color w:val="auto"/>
              </w:rPr>
            </w:pPr>
          </w:p>
        </w:tc>
      </w:tr>
      <w:tr>
        <w:trPr>
          <w:trHeight w:val="22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90,802</w:t>
            </w:r>
          </w:p>
        </w:tc>
        <w:tc>
          <w:tcPr>
            <w:tcW w:w="80" w:type="dxa"/>
            <w:vAlign w:val="bottom"/>
            <w:tcBorders>
              <w:bottom w:val="single" w:sz="8" w:color="CCEEFF"/>
            </w:tcBorders>
          </w:tcPr>
          <w:p>
            <w:pPr>
              <w:spacing w:after="0"/>
              <w:rPr>
                <w:sz w:val="19"/>
                <w:szCs w:val="19"/>
                <w:color w:val="auto"/>
              </w:rPr>
            </w:pPr>
          </w:p>
        </w:tc>
      </w:tr>
      <w:tr>
        <w:trPr>
          <w:trHeight w:val="250"/>
        </w:trPr>
        <w:tc>
          <w:tcPr>
            <w:tcW w:w="6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(82,824)</w:t>
            </w:r>
          </w:p>
        </w:tc>
        <w:tc>
          <w:tcPr>
            <w:tcW w:w="80" w:type="dxa"/>
            <w:vAlign w:val="bottom"/>
          </w:tcPr>
          <w:p>
            <w:pPr>
              <w:spacing w:after="0"/>
              <w:rPr>
                <w:sz w:val="19"/>
                <w:szCs w:val="19"/>
                <w:color w:val="auto"/>
              </w:rPr>
            </w:pPr>
          </w:p>
        </w:tc>
      </w:tr>
      <w:tr>
        <w:trPr>
          <w:trHeight w:val="270"/>
        </w:trPr>
        <w:tc>
          <w:tcPr>
            <w:tcW w:w="6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80" w:type="dxa"/>
            <w:vAlign w:val="bottom"/>
          </w:tcPr>
          <w:p>
            <w:pPr>
              <w:spacing w:after="0"/>
              <w:rPr>
                <w:sz w:val="19"/>
                <w:szCs w:val="19"/>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(90,935)</w:t>
            </w:r>
          </w:p>
        </w:tc>
        <w:tc>
          <w:tcPr>
            <w:tcW w:w="80" w:type="dxa"/>
            <w:vAlign w:val="bottom"/>
          </w:tcPr>
          <w:p>
            <w:pPr>
              <w:spacing w:after="0"/>
              <w:rPr>
                <w:sz w:val="19"/>
                <w:szCs w:val="19"/>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22"/>
        </w:trPr>
        <w:tc>
          <w:tcPr>
            <w:tcW w:w="68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7"/>
                <w:szCs w:val="17"/>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37"/>
        </w:trPr>
        <w:tc>
          <w:tcPr>
            <w:tcW w:w="6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60,954,755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25,991,817</w:t>
            </w:r>
          </w:p>
        </w:tc>
        <w:tc>
          <w:tcPr>
            <w:tcW w:w="80" w:type="dxa"/>
            <w:vAlign w:val="bottom"/>
          </w:tcPr>
          <w:p>
            <w:pPr>
              <w:spacing w:after="0"/>
              <w:rPr>
                <w:sz w:val="19"/>
                <w:szCs w:val="19"/>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37"/>
        </w:trPr>
        <w:tc>
          <w:tcPr>
            <w:tcW w:w="6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(90,935)</w:t>
            </w: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Deficit</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380" w:type="dxa"/>
            <w:vAlign w:val="bottom"/>
            <w:gridSpan w:val="5"/>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2800" w:type="dxa"/>
            <w:vAlign w:val="bottom"/>
          </w:tcPr>
          <w:p>
            <w:pPr>
              <w:spacing w:after="0"/>
              <w:rPr>
                <w:sz w:val="9"/>
                <w:szCs w:val="9"/>
                <w:color w:val="auto"/>
              </w:rPr>
            </w:pPr>
          </w:p>
        </w:tc>
        <w:tc>
          <w:tcPr>
            <w:tcW w:w="23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8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9"/>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25,916,168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797,655</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(838,817)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(96,134)</w:t>
            </w:r>
          </w:p>
        </w:tc>
        <w:tc>
          <w:tcPr>
            <w:tcW w:w="0" w:type="dxa"/>
            <w:vAlign w:val="bottom"/>
          </w:tcPr>
          <w:p>
            <w:pPr>
              <w:spacing w:after="0"/>
              <w:rPr>
                <w:sz w:val="1"/>
                <w:szCs w:val="1"/>
                <w:color w:val="auto"/>
              </w:rPr>
            </w:pPr>
          </w:p>
        </w:tc>
      </w:tr>
      <w:tr>
        <w:trPr>
          <w:trHeight w:val="230"/>
        </w:trPr>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Adoption of ASU 2020-06</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(91,927)</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25,916,168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704,180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(837,269)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(188,061)</w:t>
            </w:r>
          </w:p>
        </w:tc>
        <w:tc>
          <w:tcPr>
            <w:tcW w:w="0" w:type="dxa"/>
            <w:vAlign w:val="bottom"/>
          </w:tcPr>
          <w:p>
            <w:pPr>
              <w:spacing w:after="0"/>
              <w:rPr>
                <w:sz w:val="1"/>
                <w:szCs w:val="1"/>
                <w:color w:val="auto"/>
              </w:rPr>
            </w:pPr>
          </w:p>
        </w:tc>
      </w:tr>
      <w:tr>
        <w:trPr>
          <w:trHeight w:val="230"/>
        </w:trPr>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29"/>
        </w:trPr>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(90,935)</w:t>
            </w:r>
          </w:p>
        </w:tc>
        <w:tc>
          <w:tcPr>
            <w:tcW w:w="0" w:type="dxa"/>
            <w:vAlign w:val="bottom"/>
          </w:tcPr>
          <w:p>
            <w:pPr>
              <w:spacing w:after="0"/>
              <w:rPr>
                <w:sz w:val="1"/>
                <w:szCs w:val="1"/>
                <w:color w:val="auto"/>
              </w:rPr>
            </w:pP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26,182,719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(269,394)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2800" w:type="dxa"/>
            <w:vAlign w:val="bottom"/>
          </w:tcPr>
          <w:p>
            <w:pPr>
              <w:spacing w:after="0"/>
              <w:rPr>
                <w:sz w:val="24"/>
                <w:szCs w:val="24"/>
                <w:color w:val="auto"/>
              </w:rPr>
            </w:pPr>
          </w:p>
        </w:tc>
        <w:tc>
          <w:tcPr>
            <w:tcW w:w="2380" w:type="dxa"/>
            <w:vAlign w:val="bottom"/>
            <w:gridSpan w:val="5"/>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800" w:type="dxa"/>
            <w:vAlign w:val="bottom"/>
          </w:tcPr>
          <w:p>
            <w:pPr>
              <w:spacing w:after="0"/>
              <w:rPr>
                <w:sz w:val="9"/>
                <w:szCs w:val="9"/>
                <w:color w:val="auto"/>
              </w:rPr>
            </w:pPr>
          </w:p>
        </w:tc>
        <w:tc>
          <w:tcPr>
            <w:tcW w:w="23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9"/>
                <w:szCs w:val="9"/>
                <w:color w:val="auto"/>
              </w:rPr>
            </w:pPr>
          </w:p>
        </w:tc>
        <w:tc>
          <w:tcPr>
            <w:tcW w:w="1220" w:type="dxa"/>
            <w:vAlign w:val="bottom"/>
            <w:gridSpan w:val="4"/>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82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restart"/>
          </w:tcPr>
          <w:p>
            <w:pPr>
              <w:jc w:val="center"/>
              <w:ind w:right="75"/>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0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60,879,496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(1,106,377)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(196,944)</w:t>
            </w: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(56,731)</w:t>
            </w:r>
          </w:p>
        </w:tc>
        <w:tc>
          <w:tcPr>
            <w:tcW w:w="0" w:type="dxa"/>
            <w:vAlign w:val="bottom"/>
          </w:tcPr>
          <w:p>
            <w:pPr>
              <w:spacing w:after="0"/>
              <w:rPr>
                <w:sz w:val="1"/>
                <w:szCs w:val="1"/>
                <w:color w:val="auto"/>
              </w:rPr>
            </w:pPr>
          </w:p>
        </w:tc>
      </w:tr>
      <w:tr>
        <w:trPr>
          <w:trHeight w:val="221"/>
        </w:trPr>
        <w:tc>
          <w:tcPr>
            <w:tcW w:w="28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March 31, 2022</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61,058,567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969,268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(1,163,108)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(54,998)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(249,040)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(90,935)</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premiums and discounts on investments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expense related to the revenue interest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w:t>
            </w: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r>
      <w:tr>
        <w:trPr>
          <w:trHeight w:val="23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r>
      <w:tr>
        <w:trPr>
          <w:trHeight w:val="229"/>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(21,583)</w:t>
            </w:r>
          </w:p>
        </w:tc>
      </w:tr>
      <w:tr>
        <w:trPr>
          <w:trHeight w:val="23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25,042</w:t>
            </w:r>
          </w:p>
        </w:tc>
      </w:tr>
      <w:tr>
        <w:trPr>
          <w:trHeight w:val="223"/>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(89,068)</w:t>
            </w:r>
          </w:p>
        </w:tc>
      </w:tr>
      <w:tr>
        <w:trPr>
          <w:trHeight w:val="270"/>
        </w:trPr>
        <w:tc>
          <w:tcPr>
            <w:tcW w:w="7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revenue interest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70"/>
        </w:trPr>
        <w:tc>
          <w:tcPr>
            <w:tcW w:w="7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(87,023)</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304,962</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200,364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217,939</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7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 not yet paid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 cash right of use asset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9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Basis of Presentation</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Esperion Therapeutics, Inc. ("the Company”) is a pharmaceutical company singularly focused on developing and commercializing accessible, oral, once-daily, non-statin medicines for patients struggling with elevated low density lipoprotein cholesterol ("LDL-C"). Through commercial execution and advancement of the CLEAR Outcomes trial as well as the Company's pre-clinical pipeline, the Company continues to evolve into a differentiated, global cardiometabolic biotech. The Esperion team of lipid experts are dedicated to lowering bad cholesterol through the discovery, development and commercialization of innovative medicines and their combinations with established medicines. The Company's first two products were approved by the U.S. Food and Drug Administration ("FDA"), European Medicines Agency ("EMA") and Swiss Agency for Therapeutic Products ("Swissmedic") in 2020. Bempedoic acid and the bempedoic acid / ezetimibe combination tablet are oral, once-daily, non-statin, LDL-C lowering medicines for patients with atherosclerotic cardiovascular disease ("ASCVD") or heterozygous familial hypercholesterolemia ("HeFH").</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primary activities since incorporation have been conducting research and development activities, including nonclinical, preclinical and clinical testing, performing business and financial planning, recruiting personnel, and raising capital. The Company received approval by the FDA in February 2020 to commercialize NEXLETOL® (bempedoic acid) and NEXLIZET® (bempedoic acid and ezetimibe) tablet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manage its management, commercial and scientific staff; and finance its operations with an ultimate goal of achieving profitable operations.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sustained annual operating losses since inception and expects such losses to continue over the foreseeable future. The Company's ability to successfully launch, commercialize and generate revenue from NEXLETOL, NEXLIZET, NILEMDO® (bempedoic acid) tablet and NUSTENDI® (bempedoic acid and ezetimibe) tablet has been and may continue to be adversely affected by the economic impact of the ongoing COVID-19 pandemic. While management believes current cash resources and future cash received from the Company's net product sales and collaboration agreements with Daiichi Sankyo Europe GmbH ("DSE"), Otsuka Pharmaceutical Co., Ltd.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 The impact of COVID-19 and the uncertainty around the global pandemic could further impact the commercialization of NEXLETOL and NEXLIZET and the Company’s research and development programs and could result in lower cash flows or higher costs that could further impact the Company’s overall operations and cash needs in the future.</w:t>
      </w:r>
    </w:p>
    <w:p>
      <w:pPr>
        <w:spacing w:after="0" w:line="1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prior year amounts have been reclassified to conform with current year presentation.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2021, and the notes thereto, which are included in the Company’s Annual Report on Form 10-K for the year ended December 31, 2021. The results of operations for the interim periods are not necessarily indicative of the results to be expected for a full year, any other interim periods or any future year or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766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United States requires management to make estimates and assumptions that affect the reported amounts of assets, liabilities, net revenues, expenses and related disclosures.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Restricted cash consists of legally restricted amounts held by financial institutions pursuant to contractual arrangements. Pursuant to the Amendment and Waiver (as defined below), the Company deposited $50.0 million in a deposit account that is subject to a block account control agreement. Oberland will have sole control over the funds deposited in the account and such funds may be withdrawn only with the consent of Oberland. Refer to Note 8 "Liability Related to the Revenue Interest Purchase Agreement" for further information on the Amendment and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 balance sheet date are classified as current. Investments with a maturity beyond twelve months from the balance sheet date are classified as long-term.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enters into a limited number of distribution agreements with distributors and specialty pharmacies. The Company's net product sales are with these customers. As of March 31, 2022, ten customers accounted for all of the Company's net trade receivables and as of December 31, 2021, nine customers accounted for all the Company's net trade receivables.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ASC 606, Revenue from Contracts with Customers,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w:t>
      </w:r>
    </w:p>
    <w:p>
      <w:pPr>
        <w:spacing w:after="0" w:line="18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Revenue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consideration when it is probable that a future reversal is unlikely to occur. For sales based milestones and royalties based on sales of product in a territory, the Company applies the sales-based royalty exception in ASC 606-10-55-65 to all of these milestones and royalties.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(loss) income.</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Product Sales, Net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Net product sales totaled $13.4 million for the three months ended March 31, 2022 and $6.4 million for the three months ended March 31, 2021.</w:t>
      </w:r>
    </w:p>
    <w:p>
      <w:pPr>
        <w:spacing w:after="0" w:line="18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Liabilities for co-pay assistance, expected product returns, rebates, and distributor fees are classified as “Other accrued liabilities” in the condensed balance sheets. Discounts, such as prompt pay discounts, and chargebacks are recorded as a reduction to trade accounts receivable in the condensed balance sheets.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Forms of Variable Consideration</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Rebates and Chargebacks: </w:t>
      </w:r>
      <w:r>
        <w:rPr>
          <w:rFonts w:ascii="Times New Roman" w:cs="Times New Roman" w:eastAsia="Times New Roman" w:hAnsi="Times New Roman"/>
          <w:sz w:val="18"/>
          <w:szCs w:val="18"/>
          <w:color w:val="auto"/>
        </w:rPr>
        <w:t>The Company estimates reductions to product sales for Public Health Service Institutions, such as Medicaid,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8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Eligible patients who have commercial insurance may receive assistance from the Company to reduce the patient's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73" w:lineRule="exact"/>
        <w:rPr>
          <w:sz w:val="20"/>
          <w:szCs w:val="20"/>
          <w:color w:val="auto"/>
        </w:rPr>
      </w:pPr>
    </w:p>
    <w:p>
      <w:pPr>
        <w:ind w:right="8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Fees: </w:t>
      </w:r>
      <w:r>
        <w:rPr>
          <w:rFonts w:ascii="Times New Roman" w:cs="Times New Roman" w:eastAsia="Times New Roman" w:hAnsi="Times New Roman"/>
          <w:sz w:val="18"/>
          <w:szCs w:val="18"/>
          <w:color w:val="auto"/>
        </w:rPr>
        <w:t>The Company has written contracts with its customers that include terms for distribution fees and costs for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The Company estimates and records distribution fees due to its customers based on gross sales.</w:t>
      </w:r>
    </w:p>
    <w:p>
      <w:pPr>
        <w:spacing w:after="0" w:line="15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generally offers a right of return based on the product’s expiration date and certain spoilage and damaged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instances. The Company estimates the amount of product sales that may be returned and records the estimate as a reduction of product sales in the period the related product sales is recognized. The Company’s estimates for expected returns are based primarily on an ongoing analysis of sales information and visibility into the inventory remaining in the distribution channel.</w:t>
      </w:r>
    </w:p>
    <w:p>
      <w:pPr>
        <w:spacing w:after="0" w:line="180"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Discounts: </w:t>
      </w:r>
      <w:r>
        <w:rPr>
          <w:rFonts w:ascii="Times New Roman" w:cs="Times New Roman" w:eastAsia="Times New Roman" w:hAnsi="Times New Roman"/>
          <w:sz w:val="18"/>
          <w:szCs w:val="18"/>
          <w:color w:val="auto"/>
        </w:rPr>
        <w:t>The Company provides product discounts, such as prompt pay discounts, to its customers. The Company estimates cash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terms in negotiated contracts and the Company’s expectations regarding future payment patterns.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 The Company began capitalizing inventory upon receiving FDA approval for NEXLETOL and NEXLIZET on February 21, 2020 and February 26, 2020, respectively. Prior to the FDA approval of NEXLETOL and NEXLIZET, expenses associated with the manufacturing of the Company's products were recorded as research and development expense.</w:t>
      </w:r>
    </w:p>
    <w:p>
      <w:pPr>
        <w:spacing w:after="0" w:line="183"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Implemented Accounting Pronouncements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the Company’s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8400" w:firstLine="8"/>
        <w:spacing w:after="0" w:line="503"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with Third Parties DSE Agreement Terms</w:t>
      </w:r>
    </w:p>
    <w:p>
      <w:pPr>
        <w:spacing w:after="0" w:line="256" w:lineRule="auto"/>
        <w:rPr>
          <w:sz w:val="20"/>
          <w:szCs w:val="20"/>
          <w:color w:val="auto"/>
        </w:rPr>
      </w:pPr>
      <w:r>
        <w:rPr>
          <w:rFonts w:ascii="Times New Roman" w:cs="Times New Roman" w:eastAsia="Times New Roman" w:hAnsi="Times New Roman"/>
          <w:sz w:val="18"/>
          <w:szCs w:val="18"/>
          <w:color w:val="auto"/>
        </w:rPr>
        <w:t>On January 2, 2019, the Company entered into a license and collaboration agreement with DSE, which was furthered amended on June 18, 2020. Pursuant to the amended agreement, the Company granted DSE exclusive commercialization rights to bempedoic acid and the bempedoic acid / ezetimibe combination tablet in the European Economic Area, Turkey, and Switzerland (“DSE Territory”). DSE will be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The Company is also eligible to receive a substantial additional regulatory milestone payment upon the grant of the marketing authorisation in the European Union for the CV risk reduction label, depending on the range of relative risk reduction in the CLEAR Outcomes study. In addition, the Company is eligible to receive additional sales milestone payments related to total net sales achievements for DSE in the DSE Territory. Finally, the Company will receive tiered fifteen percent (15%) to twenty-five percent (25%) royalties on net DSE Territory sales.</w:t>
      </w:r>
    </w:p>
    <w:p>
      <w:pPr>
        <w:spacing w:after="0" w:line="187"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The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2022, the Company recognized collaboration revenue of approximately $5.3 million related to royalty revenue from DSE related to sales of NILEMDO and NUSTENDI as well as the sales of bulk tablets to DSE pursuant to the supply agreement that was executed with DSE. In the three months ended March 31, 2021, the Company recognized collaboration revenue of $1.6 million related to the sales of bulk tablets of NILEMDO and NUSTENDI to DSE.</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All remaining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sales-based milestones will be recognized when the subsequent sales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Otsuka Agreement Terms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Otsuka will be responsible for all development, regulatory, and commercialization activities in Japan. In addition, Otsuka will fund all clinical development costs associated with the program in Japan.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agreement, the consideration consists of a $60.0 million upfront cash payment and the Company will be eligible to receive additional payments of up to $450.0 million if certain regulatory and commercial milestones are achieved by Otsuka. The potential future milestone payments include up to $20.0 million upon first JNDA submissions in the Otsuka Territory, up to $70.0 million upon the first NHI Price Listing for NEXLETOL in the Otsuka Territory, and up to $50.0 million upon the achievement of the primary major adverse cardiovascular events (“MACE”) in the CLEAR Outcomes study and the CV risk reduction rate on the U.S. label, depending on the range of relative risk reduction in the CLEAR Outcomes study. In addition, the Company is eligible to receive additional sales milestone payments up to $310.0 million related to total net sales achievements for Otsuka in Japan. Finally, the Company will receive tiered fifteen percent (15%) to thirty percent (30%) royalties on net sales in Japan.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agreement was in the scope of ASC 606. The Company did not have any collaboration revenue from the Otsuka Agreement during the three months ended March 31, 2022 and 2021.</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yet recognized any revenue for milestone payments as the related regulatory and commercial milestones have not yet been achieved.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 Agreement Terms</w:t>
      </w:r>
    </w:p>
    <w:p>
      <w:pPr>
        <w:spacing w:after="0" w:line="216"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In April 2021, the Company entered into a license and collaboration agreement with Daiichi Sankyo Co. Ltd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agreement, the consideration consists of a $30.0 million upfront cash payment that is non-refundable, non-reimbursable and non-creditable. The Company also will be eligible to receive additional one-time payments of up to $175.0 million if certain commercial milestones are achieved by DS. Also, the Company will receive tiered royalties of five percent (5%) to twenty percent (20%) of net sales in the DS Territory.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agreement was in the scope of ASC 606. The Company concluded that the upfront payment of $30.0 million should be included in the transaction price and related to the following performance obligations under the agreement: 1) the license to the Company’s intellectual property and 2) the obligation to provide ongoing development activities. The Company used the adjusted market assessment approach in determining the standalone selling price of the Company’s intellectual property and the expected cost plus margin approach in determining the standalone selling price of the Company’s obligation to provide ongoing development activities. Accordingly, during the year ended December 31, 2021, the Company recognized $28.5 million of collaboration revenue related to the $30.0 million upfront payment. The $28.5 million relates to the performance obligations for the license to the Company’s intellectual property and a portion of ongoing regulatory and development activities conducted during the year ended December 31, 2021, in the amounts of $28.0 million and $0.5 million, respectively. For the three months ended March 31, 2022, the Company recognized $0.2 million of collaboration revenue related to the ongoing regulatory and development activities. The remaining</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$1.3 million of the upfront payment was deferred as of March 31, 2022 due to an on-going performance obligation related to the developmental activities in South Korea and Taiwan. This deferred revenue will be recognized ratably over the period leading up to the completion of these developmental activities.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23"/>
        </w:trPr>
        <w:tc>
          <w:tcPr>
            <w:tcW w:w="78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34,394</w:t>
            </w:r>
          </w:p>
        </w:tc>
      </w:tr>
      <w:tr>
        <w:trPr>
          <w:trHeight w:val="21"/>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 xml:space="preserve">On January 12, 2016, a purported stockholder of the Company filed a putative class action lawsuit in the United States District Court for the Eastern District of Michigan, against the Company and Tim Mayleben, captioned </w:t>
      </w:r>
      <w:r>
        <w:rPr>
          <w:rFonts w:ascii="Times New Roman" w:cs="Times New Roman" w:eastAsia="Times New Roman" w:hAnsi="Times New Roman"/>
          <w:sz w:val="18"/>
          <w:szCs w:val="18"/>
          <w:i w:val="1"/>
          <w:iCs w:val="1"/>
          <w:color w:val="auto"/>
        </w:rPr>
        <w:t>Kevin L. Dougherty v. Esperion Therapeutics, Inc., et al.</w:t>
      </w:r>
      <w:r>
        <w:rPr>
          <w:rFonts w:ascii="Times New Roman" w:cs="Times New Roman" w:eastAsia="Times New Roman" w:hAnsi="Times New Roman"/>
          <w:sz w:val="18"/>
          <w:szCs w:val="18"/>
          <w:color w:val="auto"/>
        </w:rPr>
        <w:t xml:space="preserve"> (No. 16-cv-10089). The lawsuit alleges that the Company and Mr. Mayleben violated Sections 10(b) and 20(a) of the Securities Exchange Act of 1934 and SEC Rule 10b-5 by allegedly failing to disclose in an August 17, 2015, public statement that the FDA would require a cardiovascular outcomes trial before approving the Company’s lead product candidate. The lawsuit seeks, among other things, compensatory damages in connection with an allegedly inflated stock price between August 18, 2015, and September 28, 2015, as well as attorneys’ fees and costs. On March 12, 2021, the parties agreed to a settlement in principle of the securities class action, and on April 26, 2021, the parties entered into a stipulation of settlement to resolve all legal claims, in which defendants expressly deny that they have committed any act or omission giving rise to any liability under Section 10(b) of the Securities Exchange Act of 1934. Under the terms of the stipulation of settlement, which the court approved on August 24, 2021, the Company and certain of the Company's insurance carriers caused a payment of $18.25 million to be made to the plaintiff class. As a result of this settlement agreement, the Company recorded a loss on settlement of $13.25 million during the three months ended March 31, 2021 in selling, general, and administrative expenses on the statements of operations and comprehensive loss, which represents the litigation settlement of $18.25 million offset by $5.0 million in insurance claim proceeds from our insurance carriers.</w:t>
      </w:r>
    </w:p>
    <w:p>
      <w:pPr>
        <w:spacing w:after="0" w:line="23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contractual obligations and commitments and contingencies outside the ordinary course of business from those previously disclosed in the Company’s Annual Report on Form 10-K for the fiscal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equivalents, restricted cash, and short-term investments (in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180" w:type="dxa"/>
            <w:vAlign w:val="bottom"/>
          </w:tcPr>
          <w:p>
            <w:pPr>
              <w:jc w:val="center"/>
              <w:ind w:right="198"/>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1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 and restricted cash:</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140,752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209,553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209,290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200" w:type="dxa"/>
            <w:vAlign w:val="bottom"/>
          </w:tcPr>
          <w:p>
            <w:pPr>
              <w:jc w:val="center"/>
              <w:ind w:right="198"/>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36"/>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center"/>
              <w:ind w:left="836"/>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and March 31, 2021, other income, net in the statements of operations includes interest income on investments of $0.3 million and less than $0.1 million, respectively. During the three months ended March 31, 2022, other income, net in the statements of operations includes amortization of premiums and discounts on investments of $0.2 million. There was no amortization of premiums and discounts on investments for the three months ended March 31, 2021.</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were no unrealized gains or losses on investments reclassified from accumulated other comprehensive income (loss) to other income in the statements of operations during the three months ended March 31, 2022 and 2021.</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2022, there were no allowances for credit losses and all unrealized gains (losses) for available-for-sale securities were recognized in accumulated other comprehensive income (loss). As of March 31, 2022, the Company had $0.2 million of accrued interest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Quoted prices for identical assets or liabilities in active markets;</w:t>
            </w:r>
          </w:p>
        </w:tc>
      </w:tr>
      <w:tr>
        <w:trPr>
          <w:trHeight w:val="346"/>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Observable inputs other than Level 1 prices, such as quoted market prices for similar assets or liabilities or other inputs that are</w:t>
            </w:r>
          </w:p>
        </w:tc>
      </w:tr>
      <w:tr>
        <w:trPr>
          <w:trHeight w:val="234"/>
        </w:trPr>
        <w:tc>
          <w:tcPr>
            <w:tcW w:w="1560" w:type="dxa"/>
            <w:vAlign w:val="bottom"/>
          </w:tcPr>
          <w:p>
            <w:pPr>
              <w:spacing w:after="0"/>
              <w:rPr>
                <w:sz w:val="20"/>
                <w:szCs w:val="20"/>
                <w:color w:val="auto"/>
              </w:rPr>
            </w:pP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observable or can be corroborated by market data; and</w:t>
            </w:r>
          </w:p>
        </w:tc>
      </w:tr>
      <w:tr>
        <w:trPr>
          <w:trHeight w:val="346"/>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3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Unobservable inputs that are supported by little or no market activity and require the reporting entity to develop assumptions</w:t>
            </w:r>
          </w:p>
        </w:tc>
      </w:tr>
      <w:tr>
        <w:trPr>
          <w:trHeight w:val="234"/>
        </w:trPr>
        <w:tc>
          <w:tcPr>
            <w:tcW w:w="1560" w:type="dxa"/>
            <w:vAlign w:val="bottom"/>
          </w:tcPr>
          <w:p>
            <w:pPr>
              <w:spacing w:after="0"/>
              <w:rPr>
                <w:sz w:val="20"/>
                <w:szCs w:val="20"/>
                <w:color w:val="auto"/>
              </w:rPr>
            </w:pP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that market participants would use when pricing the asset or liability.</w:t>
            </w:r>
          </w:p>
        </w:tc>
      </w:tr>
      <w:tr>
        <w:trPr>
          <w:trHeight w:val="864"/>
        </w:trPr>
        <w:tc>
          <w:tcPr>
            <w:tcW w:w="1560" w:type="dxa"/>
            <w:vAlign w:val="bottom"/>
          </w:tcPr>
          <w:p>
            <w:pPr>
              <w:spacing w:after="0"/>
              <w:rPr>
                <w:sz w:val="24"/>
                <w:szCs w:val="24"/>
                <w:color w:val="auto"/>
              </w:rPr>
            </w:pPr>
          </w:p>
        </w:tc>
        <w:tc>
          <w:tcPr>
            <w:tcW w:w="968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14</w:t>
            </w:r>
          </w:p>
        </w:tc>
      </w:tr>
      <w:tr>
        <w:trPr>
          <w:trHeight w:val="115"/>
        </w:trPr>
        <w:tc>
          <w:tcPr>
            <w:tcW w:w="156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that have been measured at fair value on a recurring basis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jc w:val="center"/>
              <w:ind w:right="3120"/>
              <w:spacing w:after="0"/>
              <w:rPr>
                <w:sz w:val="20"/>
                <w:szCs w:val="20"/>
                <w:color w:val="auto"/>
              </w:rPr>
            </w:pPr>
            <w:r>
              <w:rPr>
                <w:rFonts w:ascii="Times New Roman" w:cs="Times New Roman" w:eastAsia="Times New Roman" w:hAnsi="Times New Roman"/>
                <w:sz w:val="18"/>
                <w:szCs w:val="18"/>
                <w:color w:val="auto"/>
                <w:w w:val="99"/>
              </w:rPr>
              <w:t>U.S. treasury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jc w:val="center"/>
              <w:ind w:right="31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jc w:val="center"/>
              <w:ind w:right="3120"/>
              <w:spacing w:after="0"/>
              <w:rPr>
                <w:sz w:val="20"/>
                <w:szCs w:val="20"/>
                <w:color w:val="auto"/>
              </w:rPr>
            </w:pPr>
            <w:r>
              <w:rPr>
                <w:rFonts w:ascii="Times New Roman" w:cs="Times New Roman" w:eastAsia="Times New Roman" w:hAnsi="Times New Roman"/>
                <w:sz w:val="18"/>
                <w:szCs w:val="18"/>
                <w:color w:val="auto"/>
                <w:w w:val="99"/>
              </w:rPr>
              <w:t>U.S. treasury notes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three months ended March 31,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Liability Related to the Revenue Interest Purchase Agreement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26, 2019, the Company entered into a RIPA with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spacing w:after="0" w:line="17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(a) if annual net sales equal or exceed $350.0 million by December 31, 2021 (the “Sales Threshold”), the initially tiered revenue interest rate will be decreased to a single rate of 2.5% of the Company’s net sales in the Covered Territory, beginning on January 1, 2022, and (b) if annual net sales equal or exceed the Sales Threshold and if the Purchasers receive 100% of their invested 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 $350.0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spacing w:after="0" w:line="23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RIPA,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is exercised prior to the first anniversary of the closing date by the Purchasers (except pursuant to a change of control), the required repurchase price will be 120% of the Cumulative Purchaser Payments (minus all payments Company has made to the Purchasers in connection with the Revenue Interests). In all other cases, if the Put Option or the Call Option are exercised, the required repurchase price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will be 175% of the Cumulative Purchaser Payments (minus all payments Company has made to the Purchasers in connection with the Revenue Interests), if such option is exercised prior to the third anniversary of the closing date, and 195% of the Cumulative Purchaser Payments (minus all payments Company has made to the Purchasers in connection with the Revenue Interests), if such option is exercised thereafter.</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the RIPA contains various representations and warranties, information rights, non-financial covenants, indemnification obligations and other provisions that are customary for a transaction of this nature.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RIPA Amendments</w:t>
      </w:r>
    </w:p>
    <w:p>
      <w:pPr>
        <w:spacing w:after="0" w:line="24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April 26, 2021, the Company entered into Amendment No. 2 (the “RIPA Amendment”) to the RIPA with Oberland, as agent for the purchaser parties thereto. Pursuant to the RIPA Amendment,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 million and if the Purchasers receive 100% of their invested capital (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spacing w:after="0" w:line="21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Under the RIPA Amendment,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or the Call Option are exercised, the required repurchase price will be 200% of the Cumulative Purchaser Payments (minus all payments Company has made to the Purchasers in connection with the Revenue Interests), if such option is exercised prior to the third anniversary of the closing date, and 225% of the Cumulative Purchaser Payments (minus all payments Company has made to the Purchasers in connection with the Revenue Interests), if such option is exercised thereafter.</w:t>
      </w:r>
    </w:p>
    <w:p>
      <w:pPr>
        <w:spacing w:after="0" w:line="21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 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condensed balance sheets. The Purchaser Agent shall have sole dominion and 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spacing w:after="0" w:line="4"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In connection with the arrangement, as of March 31, 2022, the Company has recorded a liability, referred to as the “Revenue interest liability” in the condensed balance sheets, of $266.8 million, net of $0.4 million of capitalized issuance costs in connection with the RIPA, which will be amortized to interest expense over the estimated term of the RIPA.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forecasted net sales. The Company evaluates the interest rate quarterly based on its current net sales forecasts utilizing the prospective method.</w:t>
      </w:r>
    </w:p>
    <w:p>
      <w:pPr>
        <w:spacing w:after="0" w:line="2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significant increase or decrease in net sales will materially impact the revenue interest liability, interest expense and the time period for repayment. The Company recorded approximately $11.0 million in interest expense related to this arrangement for the three months ended March 31, 2022, and $4.9 million for the three months ended March 31, 2021.</w:t>
      </w:r>
    </w:p>
    <w:p>
      <w:pPr>
        <w:spacing w:after="0" w:line="17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The repayment of the RIPA to Oberland does not have a fixed repayment schedule, rather it will be completely repaid and extinguished when the Company has repaid 200% of the aggregate purchase price if repaid prior to the third anniversary of the closing date, and 225% of the Cumulative Purchaser Payments thereafter, unless the RIPA is terminated earlier. Since there is not a fixed repayment schedule, the Company does not project its future repayments by year. Each period, the Company estimates the future expected sales of its products in the covered territory and determines the effective annual imputed interest rate, which updates and changes the timing of the Company’s payments. Under the terms of the agreement, every $100 million of net sales generated, less than or equal to $250 million in an annual aggregate year, would result in a repayment obligation of approximately $10.0 million or 10.0% at the stated repayment rate in the first year. Annual net sales for a calendar year exceeding $250 million would result in a repayment obligation of approximately $3.3 million or 3.3% for every $100 million of sales above the threshold. If the Company would have equaled or exceeded $350 million of sales in the U.S. in 2021, then the repayment amount would have dropped to $3.3 million for every $100 million of net sales starting in 2022. As U.S. net sales were less than $350 million for the year ended December 31, 2021, the Covered Territory was expanded to include worldwide sales beginning in 2022. The Company’s repayments of the RIPA are directly tied to the growth of its net sales, and as the Company’s net sales grow, the Company expects the related repayments of the RIPA to grow as well. The Company currently expects to repay $13.4 million in the next twelve months.</w:t>
      </w:r>
    </w:p>
    <w:p>
      <w:pPr>
        <w:spacing w:after="0" w:line="1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effective annual imputed interest rate is 16.6% as of March 31, 2022. The Company incurred $0.6 million of issuance costs in connection with the RIPA, which will be amortized to interest expense over the estimated term of the RIPA. Payments made to Oberland as a result of the Company’s net sales will reduce the revenue interest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three months ended March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interest liability at December 31,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257,039</w:t>
            </w:r>
          </w:p>
        </w:tc>
      </w:tr>
      <w:tr>
        <w:trPr>
          <w:trHeight w:val="230"/>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r>
      <w:tr>
        <w:trPr>
          <w:trHeight w:val="230"/>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Interests payments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interest liability at March 31, 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266,837</w:t>
            </w:r>
          </w:p>
        </w:tc>
      </w:tr>
      <w:tr>
        <w:trPr>
          <w:trHeight w:val="20"/>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Notes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"Convertible Notes"). The Company used approximately $46.0 million of the net proceeds from the offering of the notes to pay the cost of the Capped Call (as defined below) and $55.0 million of the net proceeds from the offering of the initial notes to finance the Prepaid Forward (as defined below). The Convertible Notes are the Company's senior unsecured obligations and mature on November 15, 2025 (the “Maturity Date”), unless earlier repurchased or converted into shares of common stock under certain circumstances described below. The Convertible Notes are convertible into shares of the Company’s common stock, can be repurchased for cash, or a combination thereof, at the Company’s election, at an initial conversion rate of 30.2151 shares of common stock per $1,000 principal amount of the Convertible Notes, which is equivalent to an initial conversion price of approximately $33.096 per share of common stock, subject to adjustment. The Company will pay interest on the Convertible Notes semi-annually in arrears on May 15 and November 15 of each year.</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Convertible Notes are general unsecured obligations of the Company that are subordinated in right of payment to indebtedness, obligations and other liabilities under the Company’s RIPA, the revenue interests issued pursuant to such agreement, and any refinancing of the foregoing.</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Holders may convert their Convertible Notes at their option at any time prior to the close of business on the business day immediately preceding August 15, 2025 in the following circumstances: (1) during any calendar quarter commencing after the calendar quarter ended on March 31, 2021 (and only during such calendar quarter), if the last reported sale price per share of the Company’s common stock, par value $0.001 per share (“common stock”), is greater than or equal to 130% of the conversion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8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Convertible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incurred approximately $8.9 million of issuance costs related to the issuance of the Convertible Notes, of which, prior to the adoption of Accounting Standards Update ("ASU") 2020-06 on January 1, 2021, $5.8 million and $3.1 million were allocated and recorded to long-term debt and additional paid-in capital, respectively. The $5.8 million of issuance costs recorded as long-term debt on the condensed balance sheet was to be amortized over the five-year contractual term of the Convertible Notes using the effective interest method.</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adoption of ASU 2020-06 on January 1, 2021, the $271.1 million of proceeds received from the issuance of the Convertible Notes were allocated between long-term debt (the “liability component”) of $177.6 million and additional paid-in capital (the “equity component”) of $93.5 million.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Convertible Notes and was included in additional paid-in capital in the condensed balance sheet and was not remeasured as long as it did not to meet the conditions for equity classification. The liability component was to be accreted up to the face value of the Convertible Notes of $280.0 million, which resulted in additional non-cash interest expense being recognized through the Maturity Date.</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With the adoption of ASU 2020-06 as of January 1, 2021, the Company reports the convertible debt liability at the aggregate principal amount less unamortized issuance costs. This resulted in the reclassification of the $93.5 million of the Company’s convertible notes recognized at December 31, 2020 from additional paid in capital to the convertible debt liability. The portion of interest expense previously recognized for the accretion of the convertible debt liability and the true-up of the amortization of the issuance costs of $1.5 million was recorded as an adjustment to accumulated deficit.</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22, 2021, the Company entered into a privately negotiated exchange agreement (the “Exchange Agreement”) with two co-managed holders (the “Holders”) of its Convertible Notes. Under the terms of the Exchange Agreement the Holders agreed to exchange (the “Exchange”) with the Company $15.0 million aggregate principal amount of the Convertible Notes held in the aggregate by them (and accrued interest thereon) for shares of the Company’s common stock. Pursuant to the Exchange Agreement, the number of shares of common stock to be issued by the Company to the Holders upon consummation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with 1,094,848 shares of the Company's common stock being exchanged.</w:t>
      </w:r>
    </w:p>
    <w:p>
      <w:pPr>
        <w:spacing w:after="0" w:line="162" w:lineRule="exact"/>
        <w:rPr>
          <w:sz w:val="20"/>
          <w:szCs w:val="20"/>
          <w:color w:val="auto"/>
        </w:rPr>
      </w:pPr>
    </w:p>
    <w:p>
      <w:pPr>
        <w:ind w:right="820"/>
        <w:spacing w:after="0" w:line="250" w:lineRule="auto"/>
        <w:rPr>
          <w:sz w:val="20"/>
          <w:szCs w:val="20"/>
          <w:color w:val="auto"/>
        </w:rPr>
      </w:pPr>
      <w:r>
        <w:rPr>
          <w:rFonts w:ascii="Times New Roman" w:cs="Times New Roman" w:eastAsia="Times New Roman" w:hAnsi="Times New Roman"/>
          <w:sz w:val="18"/>
          <w:szCs w:val="18"/>
          <w:color w:val="auto"/>
        </w:rPr>
        <w:t>As of March 31, 2022, the principal amount of convertible notes was $265.0 million, and the unamortized debt discount and issuance costs were $6.3 million, for a net carrying amount of $258.7 million.</w:t>
      </w:r>
    </w:p>
    <w:p>
      <w:pPr>
        <w:spacing w:after="0" w:line="20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recorded $3.0 million and $3.2 million of interest expense during the three months ended March 31, 2022, and March 31, 2021, respectively, relating to the cash interest on the convertible notes due semi-annually and amortization of the debt issuance costs.</w:t>
      </w:r>
    </w:p>
    <w:p>
      <w:pPr>
        <w:spacing w:after="0" w:line="19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As of March 31, 2022, no Convertible Notes were convertible pursuant to their terms. The estimated fair value of the Convertible Notes was $137.1 million as of March 31, 2022 and $140.3 million as of December 31, 2021. The estimated fair value of the Convertible Notes was determined through consideration of quoted market prices. As of March 31, 2022, the if-converted value of the Convertible Notes did not exceed the principal value of those notes.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Convertible Notes to pay the cost of the capped call transactions. The capped call transactions are expected generally to reduce potential dilution to the Company’s common stock upon any conversion of the Convertible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Convertible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Convertible Notes.</w:t>
      </w:r>
    </w:p>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Given that the transactions meet certain accounting criteria, the convertible note capped call transactions are recorded in stockholders’ equity, and they are not accounted for as derivatives and are not remeasured each reporting period. As of March 31, 2022 and December 31, 2021, the Company had not purchased any shares under the convertible note capped call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Forward</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a prepaid forward stock repurchase transaction (“Prepaid Forward”) with a financial institution (“Forward Counterparty”). Pursuant to the Prepaid Forward, the Company used approximately $55.0 million of the net proceeds from the offering of the Convertible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March 31, 2022, 71,174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 (in thousands):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convertible notes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30,410</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April 2020, the board of directors approved the Esperion Therapeutics, Inc. 2020 Employee Stock Purchase Plan (the "ESPP") which was approved by the Company's shareholders on May 28, 2020. The ESPP allows eligible employees to authorize payroll deductions of up to 10% of their base salary or wages up to $25,000 annually to be applied toward the purchase of shares of the Company's common stock on the last trading day of the offering period. Participating employees will purchase shares of the Company's common stock at a discount of up to 15% on the lesser of the closing price of the Company's common stock on the NASDAQ Global Select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In the three months ended March 31, 2022 and March 31, 2021, the Company recognized approximately $0.1 million and $0.3 million of stock compensation expense related to the ESPP, respectively. As of March 31, 2022, there have been 256,999 shares issued and 568,001 shares reserved for future issuance under the ESPP.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options to purchase common stock for the three months ended March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1,042,450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4,101,259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March 31, 2022</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4,101,259</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line="203"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2,491,684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stock options was $1.5 million for the three months ended March 31, 2022, including $0.1 million that were capitalized into inventory, and $3.7 million for the three months ended March 31, 2021, including $0.3 million that were capitalized into inventory. As of March 31, 2022, there was $13.7 million of unrecognized stock-based compensation expense related to unvested options, which will be recognized over a weighted-average period of 2.8 years.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Options ("PBSOs")</w:t>
      </w:r>
    </w:p>
    <w:p>
      <w:pPr>
        <w:spacing w:after="0" w:line="2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2021, the Company granted PBSOs from the 2013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Company expects the performance criteria to be met.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PBSOs for the three months ended March 31,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March 31, 2022</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122,700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PBSOs was $0.1 million for the three months ended March 31, 2022. As of March 31, 2022, there was approximately $0.6 million of unrecognized stock-based compensation expense related to unvested PBSOs, which will be recognized over a weighted-average period of approximately 1.7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(or RSUs)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RSUs for the three months ended March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December 31, 2021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1,386,629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March 31,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1,978,717</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RSUs was approximately $1.9 million for the three months ended March 31, 2022, including $0.1 million that was capitalized into inventory, and approximately $1.8 million for the three months ended March 31, 2021, including $0.1 million that was capitalized into inventory. As of March 31, 2022, there was $19.9 million of unrecognized stock-based compensation expense related to unvested RSUs, which will be recognized over a weighted-average period of 3.1 years.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 ("PBRSUs")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the Company's common stock on the date of grant. The Company expects the performance criteria to be met.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PBRSUs for the three months ended March 31,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40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Weighted-average fair</w:t>
            </w:r>
          </w:p>
        </w:tc>
      </w:tr>
      <w:tr>
        <w:trPr>
          <w:trHeight w:val="195"/>
        </w:trPr>
        <w:tc>
          <w:tcPr>
            <w:tcW w:w="7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PBRSUs</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400" w:type="dxa"/>
            <w:vAlign w:val="bottom"/>
            <w:shd w:val="clear" w:color="auto" w:fill="CCEEFF"/>
          </w:tcPr>
          <w:p>
            <w:pPr>
              <w:spacing w:after="0"/>
              <w:rPr>
                <w:sz w:val="19"/>
                <w:szCs w:val="19"/>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639,950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3"/>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and unvested March 31, 2022</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602,750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1"/>
        </w:trPr>
        <w:tc>
          <w:tcPr>
            <w:tcW w:w="7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the PBRSUs was approximately $0.8 million for the three months ended March 31, 2022, including $0.1 million that was capitalized into inventory. As of March 31, 2022, there was approximately $4.4 million of unrecognized stock-based compensation expense related to unvested PBRSUs, which will be recognized over a weighted-average period of approximately 2.1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was no provision for income taxes for the three months ended March 31, 2022 and 2021, because the Company has incurred annual operating losses since inception. At March 31, 2022, the Company continues to conclude that it is not more likely than not that the Company will realize the benefit of its deferred tax assets due to its history of losses. Accordingly, a full valuation allowance has been applied against the net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Warrants</w:t>
      </w:r>
    </w:p>
    <w:p>
      <w:pPr>
        <w:spacing w:after="0" w:line="2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 connection with an underwriting agreement with H.C. Wainwright &amp; Co., LLC (the "Offering"), entered into on December 2, 2021, the Company issued warrants to purchase 36,964,286 shares of common stock at an exercise price of $9.00. The warrants will terminate on December 7, 2023. The warrants were recorded at fair value of $61.9 million to additional-paid-in-capital in accordance with ASC 815-10 based upon the allocation of the proceeds between the common shares issued with the Offering and the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the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 remaining contractual term.</w:t>
      </w:r>
    </w:p>
    <w:p>
      <w:pPr>
        <w:spacing w:after="0" w:line="19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Company had warrants outstanding that were exercisable for a total of 36,964,286 shares of common stock at a weighted-average exercise price of $9.00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Common Share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stock equivalents outstanding for the period, including shares that potentially could be dilutive if they were exercised or vested during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shares outstanding at the end of the respective periods presented below were excluded from the calculation of diluted net loss per share due to their anti-dilutive effect: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60" w:type="dxa"/>
            <w:vAlign w:val="bottom"/>
            <w:gridSpan w:val="3"/>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4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under option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4,101,259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4,030,575</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under PBSOs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1,978,717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639,581</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PBRSUs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602,750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related to the ESPP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convertible notes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8,007,010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8,460,237</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36,964,286</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51,816,979</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13,148,231</w:t>
            </w:r>
          </w:p>
        </w:tc>
      </w:tr>
      <w:tr>
        <w:trPr>
          <w:trHeight w:val="20"/>
        </w:trPr>
        <w:tc>
          <w:tcPr>
            <w:tcW w:w="4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Statements of Cash Flows and Restricted Cash</w:t>
      </w:r>
    </w:p>
    <w:p>
      <w:pPr>
        <w:spacing w:after="0" w:line="25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presented on the balance sheets to the same amounts presented on the statements of cash flows on March 31, 2022 and 2021 and December 31, 2021 and 2020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Pr>
          <w:p>
            <w:pPr>
              <w:spacing w:after="0"/>
              <w:rPr>
                <w:sz w:val="18"/>
                <w:szCs w:val="18"/>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51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and cash equivalents and restricted cash shown on the</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200,364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217,939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304,962</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statements of cash flows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April 15, 2022, the Company filed a new registration statement on Form S-3 to replace the Registration Statement, which registers the offering, issuance and sale of the remaining amount under the ATM Program. The Company may continue to use an ATM Program to address potential short-term or long-term funding requirements that may arise. Such program will continue to be subject to the volatility of the price of the Company's common stock and general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2021 and other filings that we make with the Securities and Exchange Commission.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clinical development and commercialization plans, or our future financial performance and involve known and unknown risks, uncertainties and other factors that may cause our actual results, performance or achievements, including in relation to the clinical development, commercialization plans, approval of expanded indications for bempedoic acid and the bempedoic acid / ezetimibe combination tablet and expectations regarding future transactions to further improve our balance sheet to be materially different from any future results, performance or achievements, including in relation to the clinical development, commercialization plans, or approval of expanded indications for bempedoic acid and the bempedoic acid / ezetimibe combination tablet, the impact of COVID-19, our corporate workforce reduction and targeted program savings on our business, clinical activities and commercial development plans, expressed or implied by these forward-looking statements.</w:t>
      </w:r>
    </w:p>
    <w:p>
      <w:pPr>
        <w:spacing w:after="0" w:line="1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85"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represent our views as of the date of this quarterly report. Except as required by law, we undertake no obligation to update any forward-looking statements to reflect events or circumstances after the date of such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use the terms “we,” “us,” “our,” or the "Company” in this report to refer to Esperion Therapeutics,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Overview</w:t>
      </w:r>
    </w:p>
    <w:p>
      <w:pPr>
        <w:spacing w:after="0" w:line="21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We are a pharmaceutical company singularly focused on developing and commercializing accessible, oral, once-daily, non-statin medicines for patients struggling with elevated low-density lipoprotein cholesterol, or LDL-C. Through commercial execution and advancement of our CLEAR Outcomes trial as well as our pre-clinical pipeline, we continue to evolve into a differentiated, global cardiometabolic biotech. Our team of lipid experts are dedicated to lowering bad cholesterol through the discovery, development and commercialization of innovative medicines and their combinations with established medicines. Our first two products were approved by the U.S. Food and Drug Administration, or FDA, European Medicines Agency, or EMA and Swiss Agency for Therapeutic Products, or Swissmedic, in 2020. Bempedoic acid and the bempedoic acid / ezetimibe combination tablet are oral, once-daily, non-statin, LDL-C lowering medicines for patients with atherosclerotic cardiovascular disease, or ASCVD, or heterozygous familial hypercholesterolemia, or HeFH.</w:t>
      </w:r>
    </w:p>
    <w:p>
      <w:pPr>
        <w:spacing w:after="0" w:line="2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January 2008 and commenced our operations in April 2008. Since our inception, we have focused substantially all of our efforts and financial resources on developing bempedoic acid and the bempedoic acid / ezetimibe combination tablet. In February 2020, the FDA approved NEXLETOL and NEXLIZET. NEXLETOL was commercially available in the U.S. on March 30, 2020 and NEXLIZET was commercially available in the U.S. on June 4, 2020. We have funded our operations to date primarily through proceeds from sales of preferred stock, convertible promissory notes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warrants, public offerings of common stock, the incurrence of indebtedness, through collaborations with third parties and revenue interest purchase agreements, and we have incurred losses in each year since our inception.</w:t>
      </w:r>
    </w:p>
    <w:p>
      <w:pPr>
        <w:spacing w:after="0" w:line="14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We have never been profitable and our net losses were $56.7 million and $90.9 million for the three months ended March 31, 2022 and March 31, 2021, respectively. Substantially all of our net losses resulted from costs incurred in connection with research and development programs and selling, general and administrative costs associated with our operations. We expect to incur significant expenses and operating losses for the foreseeable future in connection with our ongoing activities, including, among others:</w:t>
      </w:r>
    </w:p>
    <w:p>
      <w:pPr>
        <w:spacing w:after="0" w:line="221"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NEXLETOL and NEXLIZET in the U.S;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clinical development activities for the CLEAR Outcomes CVOT.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Overview</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NEXLETOL is a first-in-class ATP Citrate Lyase, or ACL, inhibitor that lowers LDL-C by reducing cholesterol biosynthesis and up-regulating the LDL receptors. Completed Phase 3 studies conducted in more than 3,000 patients, with over 2,000 patients treated with NEXLETOL, demonstrated an average 18 percent placebo corrected LDL-C lowering when used in patients on moderate or high-intensity statins. NEXLETOL was approved by the FDA in February 2020 as an adjunct to diet and maximally tolerated statin therapy for the treatment of adults with HeFH or established ASCVD who require additional lowering of LDL-C.</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percent compared to placebo when added on to maximally tolerated statins. NEXLIZET was approved by the FDA in February 2020 as an adjunct to diet and maximally tolerated statin therapy for the treatment of adults with HeFH or established ASCVD who require additional lowering of LDL-C.</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NILEMDO is a first-in-class ACL inhibitor that lowers LDL-C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incurred $16.0 million in expenses related to our CLEAR Outcomes CVOT and other ongoing clinical studies.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2021, we incurred $15.9 million in expenses related to our CLEAR Outcomes CVOT and other ongoing clinical studies.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Clinical Studies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Cardiovascular Outcomes Trial—CLEAR Outcomes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CLEAR Outcomes is a Phase 3, event driven, randomized, multicenter, double-blind, placebo-controlled clinical study designed to evaluate whether treatment of bempedoic acid reduces the risk of cardiovascular events in patients with statin intolerance who have cardiovascular disease or are at high risk for cardiovascular disease. The primary endpoint of the study is the effect of bempedoic acid on major adverse cardiovascular events (cardiovascular death, non-fatal myocardial infarction, non-fatal stroke, or coronary revascularization; also referred to as "four-component MACE"). CLEAR Outcomes is designed to provide 90 percent power to detect an approximately 15 percent relative risk reduction in the primary endpoint in the bempedoic acid treatment group as compared to the placebo group and is expected to complete with a minimum of 1,620 patients experiencing the primary endpoint.</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study over-enrolled with over 14,000 patients with hypercholesterolemia and high cardiovascular disease risk at over 1,200 sites in 32 countries. Eligible patients at high risk (LDL-C &gt;100 mg/dL in primary prevention) for cardiovascular disease or with cardiovascular disease (LDL-C between 100 mg/dL to 190 mg/dL in secondary prevention) and who are only able to tolerate less than the lowest approved daily starting dose of a statin and considered statin adverse, were randomized to receive bempedoic acid 180 mg once-daily or placebo. The expected average baseline LDL-C level in all patients is between 135 mg/dL and 140 mg/dL.</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CLEAR Outcomes will conclude once the predetermined number of MACE endpoints occur. We initiated CLEAR Outcomes in December 2016 and completed enrollment in August 2019. The expected average treatment duration will be 3.75 years with a minimum treatment duration of approximately 2.25 years. Based on estimated cardiovascular event rates, we expect to meet the target number of events in the second half of 2022 and report top-line results in the first quarter of 2023. The study is intended to support our submissions for a CV risk reduction indication in the U.S., Europe and other territories. In May 2022, we are approaching 95% of the primary 4-component MACE endpoints.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Updates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March 15, 2022, we announced that Richard B. Bartram was stepping down from his positions as Chief Financial Officer, Principal Financial Officer and Principal Accounting Officer of the Company, effective as of April 8, 2022. Sheldon Koenig, President and Chief Executive Officer, is currently fulfilling the role of the Principal Financial and Accounting Officer.</w:t>
      </w:r>
    </w:p>
    <w:p>
      <w:pPr>
        <w:spacing w:after="0" w:line="203"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8"/>
          <w:szCs w:val="18"/>
          <w:color w:val="auto"/>
        </w:rPr>
        <w:t>On April 28, 2022, Mark E. McGovern, M.D. notified the Board of Directors (the “Board”) of the Company of his decision to resign from the Board, effective immediately. On April 28, 2022, the Board elected Stephen Rocamboli to fill the newly created vacancy on the Board resulting from Dr.</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McGovern’s resignation from the Board, effective April 28, 2022. Mr. Rocamboli will serve as a Class I director with a term expiring at the annual meeting of stockholders to be held in 2023, at which time he will stand for election by the Company’s stockholders, or until his earlier death, resignation or removal.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full extent to which the ongoing COVID-19 pandemic, or the future outbreak of any other highly infectious or contagious diseases, may impact our business, including our CVOT and commercialization efforts will depend on continuously changing circumstances, which are highly uncertain and cannot be predicted at this time, such as the duration of such pandemic including future waves of infection, the emergence and prevalence of more contagious variants, such as the recent "Omicron" variant and the BA.2 subvariants of the virus, or the global availability and utilization of effective vaccines, the actions taken to contain the pandemic or mitigate its impact, and the direct and indirect economic effects of the pandemic and containment measures, among others. The ongoing fluidity of this situation precludes any prediction as to the full impact of the COVID-19 pandemic but it has had a material adverse effect on our business, financial condition, and results of operations. The ongoing COVID-19 pandemic may also have the effect of heightening the risks to which we are subject, including potential impacts on the progress and time to completion of our ongoing CVOT, the reliance on third parties in our supply chain for materials and manufacturing and delivery of our drugs and drug candidates, our ability to effectively promote and market our approved products, disruptions in health regulatory agencies' operations globally, the volatility of our common stock, our ability to access capital markets, and our ability to successfully commercialize and generate revenue from our approved drugs.</w:t>
      </w: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continuing to assess the long-term impact of COVID-19 on our business operations in an effort to mitigate interruption to our commercialization of our approved drugs and other business activities and to ensure the safety and well being of our employees, as well as the physicians and patients participating in our CVOT. Because COVID-19 infections have been reported throughout the U.S. and worldwide, and as new strains continue to be identified, certain national, state, and local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governmental authorities have issued orders, proclamations, and/or directives aimed at minimizing the spread of COVID-19. Although some of these restrictions were eased or lifted, in response to local surges and new waves of infection, some countries, states, and local governments have reinstituted these restrictions, and additional, more restrictive orders, proclamations, and/or directives may be issued in the future. In response to the COVID-19 pandemic, we have implemented precautionary measures to protect the health and safety of our employees, partners, and patients, including encouraging all employees to work-from-home if able to perform their duties remotely, and requiring adherence to onsite occupancy limits and appropriate safety measures designed to comply with federal, state, and local guidelines.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successfully launch, commercialize, and generate revenue from NEXLETOL, NEXLIZET, NILEMDO and NUSTENDI has been and may continue to be adversely affected by the economic impact of the ongoing COVID-19 pandemic. Physicians’ offices and other medical institutions continue to have limited access for nonpatients, which includes our sales personnel. In addition, social distancing or testing requirements and precautionary measures due to COVID-19 have impacted the ability of our sales personnel to interact in-person with customers. As a result, in many circumstances we have needed to limit our interactions with physicians and payors and adapt our launch strategies and tactics to a virtual model, including developing and deploying various technology-enabled platforms for virtual engagement such as remote detailing, digital and non-personal marketing channels, and social media. These circumstances have affected and may continue to adversely affect the ability of our sales professionals to effectively market our approved drugs to physicians and the rates of uptakes for our approved drugs, which may have a negative impact on our sales and our market penetration. In addition, patient visits with physicians have decreased as a result of COVID-19, due to travel restrictions, social distancing requirements, prioritization of healthcare resources to address the pandemic, and/or fear of exposure to the virus, which we believe has adversely affected and could continue to have an adverse impact on new patient starts and overall patient treatment volume. Market disruption and unemployment caused by the COVID-19 pandemic may lead to delays in obtaining insurance coverage and reimbursement of newly approved products.</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had to optimize our cost structure in response to the ongoing COVID-19 pandemic and its impact on the conventional healthcare model associated with normal health management practices, such as regular physician office visits, lab tests, and prescription fills. As a result of the impact COVID-19 has had on our business and demand, in October 2021, we announced our plan to align operational and expense structure to better enable future growth for NEXLETOL and NEXLIZET and prioritize our investment in the CLEAR Outcomes trial. This included reducing operational expense across the organization through a corporate workforce reduction of approximately 40% and through targeted program savings. We will focus our commercialization efforts on an optimized blend of focused outreach including a streamlined sales force, directed to targeted cardiologists and primary care physicians, and a suite of digital initiatives designed to increase awareness and utilization of our medicines in appropriate patients. We adjusted our 2021 operating expense guidance and planned 2022 operating expense budget accordingly, including our budgeted production plans. While it is not possible at this time to estimate the entirety of the impact that the ongoing COVID-19 pandemic will have on our business or operations, the continued spread or future waves of COVID-19, measures taken by governments, actions taken to protect employees, and the broad impact of the pandemic on all business activities may materially and adversely affect our preclinical activities, clinical development progress, data and timelines, commercialization efforts including any revenue from sales, supply chain continuity, and general business operations, and our business, prospects, financial condition, and results of operations could be materially harmed as a result.</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To date, we have not experienced any interruption of our supply of drug products needed to support our ongoing clinical study and product sales. However, such interruptions may occur due to supply chain issues related to COVID-19, such as the demand for vaccines and potential for manufacturing facilities and materials to be commandeered under the Defense Production Act of 1950, or equivalent foreign legislation, which may make it more difficult to obtain materials or manufacturing capacity at our third-party manufacturers to the products needed for our clinical trials and commercial product, which could lead to delays in our ongoing trial and/or issues with our commercial supply. We remain focused on maintaining a strong balance sheet, liquidity and financial flexibility and continue to monitor developments as we deal with the disruptions and uncertainties from a business and financial perspective relating to COVID-19. We will continue to work diligently with our partners and stakeholders to continue supporting patient access to our approved medicines, advancing our products under regulatory review as well as in our clinical studies to the extent safe to do so for patients, caregivers and healthcare practitioners, and ensuring the continuity of our manufacturing and supply chain. For additional information related to the potential impact of COVID-19 on our business, please read Part I-Item 1A, “Risk Factors” of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Product sales, net is related to our sales of NEXLETOL and NEXLIZET. NEXLETOL was commercially available in the U.S. on March 30, 2020 and NEXLIZET was commercially available in the U.S. on June 4,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Collaboration revenue is related to our collaboration agreements with Daiichi Sankyo Europe GmbH, or DSE, Otsuka Pharmaceutical Co., Ltd., or Otsuka, and Daiichi Sankyo Co. Ltd, or DS. Collaboration revenue in the three months ended March 31, 2022 and March 31, 2021 was primarily related to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Cost of goods sold is related to our net product sales of NEXLETOL and NEXLIZET and the cost of goods sold from our supply agreements with collaboration partners. Prior to the FDA approval of NEXLETOL and NEXLIZET in February 2020, expenses associated with the manufacturing of our products were recorded as research and development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in connection with the development of bempedoic acid and the bempedoic acid</w:t>
      </w:r>
    </w:p>
    <w:p>
      <w:pPr>
        <w:spacing w:after="0" w:line="27"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ezetimibe combination tablet, which include:</w:t>
      </w:r>
    </w:p>
    <w:p>
      <w:pPr>
        <w:spacing w:after="0" w:line="206"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contract research organizations, or CROs, and investigative sites that conduct our preclinical and clinical studies;</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stock-based compensation and travel expenses;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rent and maintenance of facilities, insurance and other supplies;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To date, substantially all of our research and development work has been related to bempedoic acid and the bempedoic acid / ezetimibe combination tablet.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18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We will continue to incur research and development expenses in the foreseeable future as they relate to our ongoing CLEAR Outcomes CVOT and any other development programs or additional indications we choose to pursue. We cannot determine with certainty the duration and completion costs associated with the ongoing or future clinical studies of bempedoic acid and the bempedoic acid / ezetimibe combination tablet.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and Europe. For example, if a regulatory authority were to require us to conduct clinical studies beyond those that we currently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anticipate that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selling expenses, facility-related costs, communication expenses and professional fees for legal, patent prosecution, protection and review, consulting and accounting services.</w:t>
      </w:r>
    </w:p>
    <w:p>
      <w:pPr>
        <w:spacing w:after="0" w:line="16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As a result of the corporate workforce reduction in October 2021 and other targeted program savings, we anticipate that our selling, general and administrative expenses will decrease in 2022 compared to 2021. We expect our selling, general and administrative expenses will increase after we report top-line results from the CLEAR Outcomes trial in the first quarter of 2023 in connection with potential additional global regulatory submissions for new product indications, expanded commercialization initiatives for NEXLETOL and NEXLIZET and increases in our associated headcount.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is related to our Revenue Interest Purchase Agreement, or RIPA, with Eiger III SA LLC, or Oberland, an affiliate of Oberland Capital and our convertible notes issued in November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income, net, primarily relates to the sale of lease vehicles associated with the reduction in force, interest income and the accretion or amortization of premiums and discounts earned on our cash, cash equivalents and investment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financial statements, which have been prepared in accordance with generally accepted accounting principles in the United States of America.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our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39,835</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(56,731)</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Product sales, net for the three months ended March 31, 2022 was $13.4 million compared to $6.4 million for the three months ended March 31, 2021, an increase of $7.0 million. The increase is primarily due to prescription growth of NEXLETOL and NEXLIZET during the first quarter of 2022 compared to the first quarter of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jc w:val="both"/>
        <w:ind w:right="900"/>
        <w:spacing w:after="0" w:line="266" w:lineRule="auto"/>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three months ended March 31, 2022 was $5.5 million compared to $1.6 million for the three months ended March 31, 2021, an increase of $3.9 million. The increase is primarily due to increased product sales to collaboration partners under our supply agreements and increased royalty revenue from our collaboration agreement with DSE.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 of goods sold for the three months ended March 31, 2022 was $7.1 million compared to $1.8 million for the three months ended March 31, 2021, an increase of $5.3 million. The increase is primarily related to increased product sales to our collaboration partners from our supply agreements and increased net product sales of NEXLETOL and NEXLIZET.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2022, were $24.3 million, compared to $28.0 million for the three months ended March 31, 2021, a decrease of approximately $3.7 million. The decrease in research and development expenses was primarily attributable to a reduction in alternative supply manufacturing and compensation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2022, were $30.4 million, compared to $61.1 million for the three months ended March 31, 2021, a decrease of $30.7 million. The decrease in selling, general and administrative expenses was primarily attributable to decreases in compensation costs related to the reduction in force in the fourth quarter of 2021 and a $13.3 million one-time charge associated with a legal settlement in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March 31, 2022, was $14.1 million, compared to $8.1 million for the three months ended March 31, 2021, an increase of approximately $6.0 million. The increase in interest expense was primarily due to additional interest expense attributable to the third installment payment from our RIPA with Oberland.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March 31, 2022, was $0.3 million, compared to less than $0.1 million for the three months ended March 31, 2021, an increase of $0.3 million. The increase in other income, net was primarily due to a gain on sale of our lease vehicles due to the reduction in 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and the revenue interest purchase agreement. Pursuant to the license and collaboration agreements with Daiichi Sankyo and Otsuka, we are eligible for substantial additional sales and regulatory milestone payments and royalties. Pursuant to the license and collaboration agreements entered into April 2021 with Daiichi Sankyo, we received an upfront cash payment of $30.0 million in May 2021 and are eligible for substantial additional sales milestone payments and royalties. Pursuant to the amended RIPA with Oberland, we received an additional $50.0 million in May 2021. The amended RIPA increases the revenue interest we will pay Oberland based on the net sales of our products as outlined in Note 8 "Liability Related to the Revenue Interest Purchase Agreement" in our condensed financial statements included in this Form 10-Q for the quarter ended March 31, 2022. In December 2021, we entered into an underwriting agreement pursuant to which we sold shares of common stock and accompanying warrants to purchase shares of our common stock and received net proceeds of $208.7 million. We anticipate that we will incur losses for the foreseeable future as we continue to incur substantial expenses related to the ongoing commercialization of NEXLETOL and NEXLIZET and our ongoing CLEAR Outcomes CVOT. We anticipate that our current cash, cash equivalents, investments, expected future net product sales of NEXLETOL and NEXLIZET, and expected future revenue under our collaboration agreements is sufficient to allow us to complete and report results from the CLEAR Outcomes CVOT and fund continuing operations for the foreseeable future beyond the CVOT read-out.</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our primary sources of liquidity were our cash and cash equivalents and available-for-sale investments which totaled $268.5 million, which includes $50 million that is restricted per the amendment and waiver with Oberland. We invest our cash equivalents and investments in highly liquid, interest-bearing investment-grade securities and government securities to preserve principal.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primary sources and uses of cash for the periods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r>
      <w:tr>
        <w:trPr>
          <w:trHeight w:val="196"/>
        </w:trPr>
        <w:tc>
          <w:tcPr>
            <w:tcW w:w="7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7"/>
                <w:szCs w:val="17"/>
                <w:color w:val="auto"/>
              </w:rPr>
            </w:pPr>
          </w:p>
        </w:tc>
      </w:tr>
      <w:tr>
        <w:trPr>
          <w:trHeight w:val="23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(89,068)</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(58,528)</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(87,023)</w:t>
            </w: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totaled $39.0 million for the three months ended March 31, 2022, compared to $89.1 million for the three months ended March 31, 2021, consisting primarily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Net cash used in investing activities of 18.1 million for the three months ended March 31, 2022 consisted of purchases of highly liquid, interest bearing investment grade and government securities. We did not have cash provided by or used in investing activities for the three months ended March 31,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invested in available-for-sale investments in the three months ended March 31, 2022 will become available for our use over the next twelve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$1.4 million for the three months ended March 31, 2022 related primarily to payments on our revenue interest liability. Net cash provided by financing activities of $2.0 million for the three months ended March 31, 2021 related primarily to proceeds from exercise of our common stock, offset by payments on our revenue interest liability.</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On August 3, 2021, we filed an automatically effective registration statement on Form S-3ASR, or Registration Statement, with the SEC which registers the offering, issuance and sale of an unspecified amount of common stock, preferred stock, debt securities, warrants and/or units of any combination thereof. We simultaneously entered into an open market sale agreement with Jefferies LLC, as sales agent, to provide for the issuance and sale by the Company of up to $250 million of common stock from time to time in “at-the-market” offerings under the Registration Statement and related prospectus filed with the Registration Statement, or the ATM Program. During the year ended December 31, 2021, we issued 897,364 shares of common stock resulting in net proceeds of approximately $9.7 million after deducting underwriting discounts and commissions and other expenses, pursuant to the ATM Program. On April 15, 2022, we filed a new registration statement on Form S-3 to replace the Registration Statement, which registers the offering, issuance and sale of the remaining amount under the ATM Program. We may continue to use an ATM Program to address potential short-term or long-term funding requirements that may arise. Such program will continue to be subject to the volatility of the price of our common stock and general market conditions.</w:t>
      </w:r>
    </w:p>
    <w:p>
      <w:pPr>
        <w:spacing w:after="0" w:line="205"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8"/>
          <w:szCs w:val="18"/>
          <w:color w:val="auto"/>
        </w:rPr>
        <w:t>In December 2021, we entered into an underwriting agreement pursuant to which we sold 32,142,858 shares of common stock and issued accompanying warrants to purchase up to an aggregate of 36,964,286 shares of our common stock. The warrants are immediately exercisable and will expire two years from the date of issuance, at an exercise price of $9.00 per share, which may provide us with additional funding, if such warrants are exercised by their holders.</w:t>
      </w:r>
    </w:p>
    <w:p>
      <w:pPr>
        <w:spacing w:after="0" w:line="198"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 2019, we entered into a RIPA with Oberland. Pursuant to the RIPA, Oberland paid us $125.0 million at closing, less certain issuance costs, and, subject to the terms and conditions of the RIPA, we received an additional $25.0 million upon regulatory approval of NEXLETOL in 2020 and were eligible to receive an additional $50.0 million at our option upon reaching certain sales thresholds. In April 2021, we entered into Amendment No. 2 to the RIPA and Oberland waived the original trailing six-month world-wide net sales condition to the third installment payment under the RIPA and released the final $50 million payment payable to us under the terms of the RIPA. The amendment also updated the tiered payment percentage. As the quarterly net revenue from sales of NEXLETOL and NEXLIZET and certain other products in the United States did not exceed $15.0 million for the quarter ended September 30, 2021, we deposited $50.0 million in a deposit account with Oberland, which reduced our unrestricted cash. As consideration for the payments, Oberland has the right to receive certain revenue interests from us based on the net sales of certain products which will be tiered payments ranging from 3.3% to 10% of our net sales in the covered territory (as detailed in the RIPA). Esperion reacquires 100% revenue rights upon repayment completion. We recorded the proceeds from the RIPA as a liability on the balance sheets and are accounting for the RIPA under the effective-interest method over the estimated life of the RIPA. Future payments under the RIPA may range from $13.4 million in the next year to a maximum total payment of $431.5 million beyond one year. Per the terms of the agreement, every $100 million of net sales generated, less than or equal to $250 million in an annual aggregate, would result in a repayment obligation of approximately $10.0 million or 10% at the stated repayment rate in the first year. In the future, as net sales thresholds set forth in the agreement are met and the repayment percentage rate changes, the amount of the obligation and timing of payment is likely to change. As the U.S. net sales were less than $350 million for the year ended December 31, 2021, the Covered Territory was expanded to include worldwide sales beginning in 2022. A significant increase or decrease in net sales will materially impact the revenue interest liability, interest expense and the time period for repayment. Refer to Note 8 "Liability Related to the Revenue Interest Purchase Agreement" in our condensed financial statements included in this Form 10-Q for the quarter ended March 31, 2022 for further information.</w:t>
      </w:r>
    </w:p>
    <w:p>
      <w:pPr>
        <w:spacing w:after="0" w:line="20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On November 16, 2020, we issued $250.0 million aggregate principal amount of 4.00% convertible senior subordinated notes due 2025 to certain financial institutions as the initial purchasers of the convertible notes. An additional $30.0 million of additional convertible notes (collectively, the "Convertible Notes"), which were issued pursuant to the exercise of the initial purchasers' option to purchase such convertible notes, closed on November 18, 2020. On October 22, 2021, we entered into the Exchange Agreement with the Holders of our Convertible Notes. Under the terms of the Exchange Agreement the Holders agreed to exchange with us $15.0 million aggregate principal amount of Convertible Notes held in the aggregate by them (and accrued interest thereon) for shares of our common stock, which closed on November 3, 2021. Future payments under the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convertible notes include annual interest of $10.6 million and a principal payment of $265.0 million in 2025. Refer to Note 9 "Convertible Notes" in our condensed financial statements included in this Form 10-Q for the quarter ended March 31, 2022 for further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Funding Requirements</w:t>
      </w:r>
    </w:p>
    <w:p>
      <w:pPr>
        <w:spacing w:after="0" w:line="2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in connection with our ongoing CLEAR Outcomes CVOT and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Daiichi Sankyo and Otsuka are sufficient to allow us to complete and report results from the CLEAR Outcomes CVOT and fund continuing operations for the foreseeable future beyond the CVOT read-out. We have based these estimates on assumptions that may prove to be wrong, and we may use our available capital resources sooner than we currently expect. We may need to secure additional cash resources or implement certain additional cost reduction initiatives to continue to fund the commercialization and further development of bempedoic acid and the bempedoic acid / ezetimibe combination tablet, particularly if there are delays in the completion of the CLEAR Outcomes CVOT or our net product sales do not meet our expectations.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21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NEXLETOL and NEXLIZET or other product candidates;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our CLEAR Outcomes CVOT and other ongoing clinical studies of bempedoic acid and the bempedoic acid / ezetimibe combination tablet;</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bempedoic acid and the bempedoic acid / ezetimibe combination tablet outside the U.S. and Europe;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any future collaboration or commercialization arrangements on favorable terms, if at all;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our existing and future collaboration and partnerships;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operational and financial information technology.</w:t>
      </w:r>
    </w:p>
    <w:p>
      <w:pPr>
        <w:spacing w:after="0" w:line="212" w:lineRule="exact"/>
        <w:rPr>
          <w:sz w:val="20"/>
          <w:szCs w:val="20"/>
          <w:color w:val="auto"/>
        </w:rPr>
      </w:pPr>
    </w:p>
    <w:p>
      <w:pPr>
        <w:ind w:right="20" w:firstLine="648"/>
        <w:spacing w:after="0" w:line="226" w:lineRule="auto"/>
        <w:rPr>
          <w:sz w:val="20"/>
          <w:szCs w:val="20"/>
          <w:color w:val="auto"/>
        </w:rPr>
      </w:pPr>
      <w:r>
        <w:rPr>
          <w:rFonts w:ascii="Times New Roman" w:cs="Times New Roman" w:eastAsia="Times New Roman" w:hAnsi="Times New Roman"/>
          <w:sz w:val="18"/>
          <w:szCs w:val="18"/>
          <w:color w:val="auto"/>
        </w:rPr>
        <w:t>Until such time, if ever, as we can generate U.S. substantial product revenues, we expect to finance our cash needs through a combination of collaborations with third parties, strategic alliances, licensing arrangements, permitted debt financings, permitted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and permitted under the terms of our RIPA,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and the RIPA with Oberland, we may have to relinquish valuable rights to our technologies, future revenue streams or grant licenses on terms that may not be favorable to us. For instance, as part of the RIPA with Oberland, Oberland has the right to receive certain revenue interests from us based on the net sales of certain products, and we have granted Oberland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0"/>
        <w:spacing w:after="0" w:line="250" w:lineRule="auto"/>
        <w:rPr>
          <w:sz w:val="20"/>
          <w:szCs w:val="20"/>
          <w:color w:val="auto"/>
        </w:rPr>
      </w:pPr>
      <w:r>
        <w:rPr>
          <w:rFonts w:ascii="Times New Roman" w:cs="Times New Roman" w:eastAsia="Times New Roman" w:hAnsi="Times New Roman"/>
          <w:sz w:val="18"/>
          <w:szCs w:val="18"/>
          <w:color w:val="auto"/>
        </w:rPr>
        <w:t>We do not currently have, nor did we have during the periods presented, any off-balance sheet arrangements as defined by Securities and Exchange Commission rules.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in our Annual Report on Form 10-K for the fiscal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currently serving as our principal financial officer, to allow timely decisions regarding required disclosure.</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March 31, 2022,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2022,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“Commitments and Contingencies” in Note 5 to our condensed financial statements included elsewhere in this Form 10-Q and is incorporated by reference into this Item 1.</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our Annual Report on Form 10-K for the fiscal year ended December 31, 2021, or Annual Report. There have been no significant changes from the risk factors previously disclosed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1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Form or</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360" w:type="dxa"/>
            <w:vAlign w:val="bottom"/>
            <w:vMerge w:val="restart"/>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8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4220" w:type="dxa"/>
            <w:vAlign w:val="bottom"/>
            <w:gridSpan w:val="10"/>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with</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gridSpan w:val="10"/>
            <w:vMerge w:val="continue"/>
          </w:tcPr>
          <w:p>
            <w:pPr>
              <w:spacing w:after="0"/>
              <w:rPr>
                <w:sz w:val="17"/>
                <w:szCs w:val="17"/>
                <w:color w:val="auto"/>
              </w:rPr>
            </w:pPr>
          </w:p>
        </w:tc>
        <w:tc>
          <w:tcPr>
            <w:tcW w:w="11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136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24"/>
        </w:trPr>
        <w:tc>
          <w:tcPr>
            <w:tcW w:w="720" w:type="dxa"/>
            <w:vAlign w:val="bottom"/>
            <w:gridSpan w:val="3"/>
          </w:tcPr>
          <w:p>
            <w:pPr>
              <w:jc w:val="center"/>
              <w:ind w:left="280"/>
              <w:spacing w:after="0"/>
              <w:rPr>
                <w:rFonts w:ascii="Times New Roman" w:cs="Times New Roman" w:eastAsia="Times New Roman" w:hAnsi="Times New Roman"/>
                <w:sz w:val="16"/>
                <w:szCs w:val="16"/>
                <w:color w:val="0000FF"/>
                <w:w w:val="99"/>
              </w:rPr>
            </w:pPr>
            <w:hyperlink r:id="rId4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460" w:type="dxa"/>
            <w:vAlign w:val="bottom"/>
          </w:tcPr>
          <w:p>
            <w:pPr>
              <w:spacing w:after="0"/>
              <w:rPr>
                <w:sz w:val="24"/>
                <w:szCs w:val="24"/>
                <w:color w:val="auto"/>
              </w:rPr>
            </w:pPr>
          </w:p>
        </w:tc>
        <w:tc>
          <w:tcPr>
            <w:tcW w:w="4560" w:type="dxa"/>
            <w:vAlign w:val="bottom"/>
            <w:gridSpan w:val="11"/>
          </w:tcPr>
          <w:p>
            <w:pPr>
              <w:spacing w:after="0"/>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Employment Agreement, dated March 1, 2022, by and between</w:t>
              </w:r>
            </w:hyperlink>
          </w:p>
        </w:tc>
        <w:tc>
          <w:tcPr>
            <w:tcW w:w="1180" w:type="dxa"/>
            <w:vAlign w:val="bottom"/>
          </w:tcPr>
          <w:p>
            <w:pPr>
              <w:jc w:val="center"/>
              <w:ind w:right="5"/>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 2022</w:t>
            </w:r>
          </w:p>
        </w:tc>
        <w:tc>
          <w:tcPr>
            <w:tcW w:w="1360" w:type="dxa"/>
            <w:vAlign w:val="bottom"/>
          </w:tcPr>
          <w:p>
            <w:pPr>
              <w:jc w:val="right"/>
              <w:ind w:right="305"/>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120" w:type="dxa"/>
            <w:vAlign w:val="bottom"/>
            <w:tcBorders>
              <w:top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Esperion Therapeutics, Inc. and Eric Warren.</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72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60" w:type="dxa"/>
            <w:vAlign w:val="bottom"/>
          </w:tcPr>
          <w:p>
            <w:pPr>
              <w:spacing w:after="0"/>
              <w:rPr>
                <w:sz w:val="24"/>
                <w:szCs w:val="24"/>
                <w:color w:val="auto"/>
              </w:rPr>
            </w:pPr>
          </w:p>
        </w:tc>
        <w:tc>
          <w:tcPr>
            <w:tcW w:w="45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14(a) and Rule 15d-14(a) of the Securities Exchange Act of 1934,</w:t>
            </w:r>
          </w:p>
        </w:tc>
        <w:tc>
          <w:tcPr>
            <w:tcW w:w="20"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25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72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60" w:type="dxa"/>
            <w:vAlign w:val="bottom"/>
          </w:tcPr>
          <w:p>
            <w:pPr>
              <w:spacing w:after="0"/>
              <w:rPr>
                <w:sz w:val="24"/>
                <w:szCs w:val="24"/>
                <w:color w:val="auto"/>
              </w:rPr>
            </w:pPr>
          </w:p>
        </w:tc>
        <w:tc>
          <w:tcPr>
            <w:tcW w:w="45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2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w w:val="99"/>
              </w:rPr>
              <w:t>14(a) and Rule 15d-14(a) of the Securities Exchange Act of 1934,</w:t>
            </w: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25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7"/>
                <w:szCs w:val="17"/>
                <w:color w:val="0000FF"/>
              </w:rPr>
              <w:t>+</w:t>
            </w:r>
          </w:p>
        </w:tc>
        <w:tc>
          <w:tcPr>
            <w:tcW w:w="45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4360" w:type="dxa"/>
            <w:vAlign w:val="bottom"/>
            <w:tcBorders>
              <w:top w:val="single" w:sz="8" w:color="0000FF"/>
            </w:tcBorders>
            <w:gridSpan w:val="10"/>
          </w:tcPr>
          <w:p>
            <w:pPr>
              <w:spacing w:after="0" w:line="122" w:lineRule="exact"/>
              <w:rPr>
                <w:sz w:val="20"/>
                <w:szCs w:val="20"/>
                <w:color w:val="auto"/>
              </w:rPr>
            </w:pPr>
            <w:r>
              <w:rPr>
                <w:rFonts w:ascii="Times New Roman" w:cs="Times New Roman" w:eastAsia="Times New Roman" w:hAnsi="Times New Roman"/>
                <w:sz w:val="14"/>
                <w:szCs w:val="14"/>
                <w:color w:val="0000FF"/>
              </w:rPr>
              <w:t>Officer pursuant to 18 U.S.C. Section 1350, as adopted pursuant to</w:t>
            </w: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1260" w:type="dxa"/>
            <w:vAlign w:val="bottom"/>
            <w:tcBorders>
              <w:top w:val="single" w:sz="8" w:color="0000FF"/>
            </w:tcBorders>
            <w:gridSpan w:val="6"/>
          </w:tcPr>
          <w:p>
            <w:pPr>
              <w:spacing w:after="0"/>
              <w:rPr>
                <w:sz w:val="12"/>
                <w:szCs w:val="12"/>
                <w:color w:val="auto"/>
              </w:rPr>
            </w:pPr>
          </w:p>
        </w:tc>
        <w:tc>
          <w:tcPr>
            <w:tcW w:w="22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1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45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45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45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45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101.DEF*</w:t>
            </w:r>
          </w:p>
        </w:tc>
        <w:tc>
          <w:tcPr>
            <w:tcW w:w="456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20" w:type="dxa"/>
            <w:vAlign w:val="bottom"/>
            <w:gridSpan w:val="3"/>
          </w:tcPr>
          <w:p>
            <w:pPr>
              <w:jc w:val="center"/>
              <w:ind w:left="280"/>
              <w:spacing w:after="0"/>
              <w:rPr>
                <w:sz w:val="20"/>
                <w:szCs w:val="20"/>
                <w:color w:val="auto"/>
              </w:rPr>
            </w:pPr>
            <w:r>
              <w:rPr>
                <w:rFonts w:ascii="Times New Roman" w:cs="Times New Roman" w:eastAsia="Times New Roman" w:hAnsi="Times New Roman"/>
                <w:sz w:val="16"/>
                <w:szCs w:val="16"/>
                <w:color w:val="auto"/>
                <w:w w:val="99"/>
              </w:rPr>
              <w:t>104*</w:t>
            </w:r>
          </w:p>
        </w:tc>
        <w:tc>
          <w:tcPr>
            <w:tcW w:w="460" w:type="dxa"/>
            <w:vAlign w:val="bottom"/>
          </w:tcPr>
          <w:p>
            <w:pPr>
              <w:spacing w:after="0"/>
              <w:rPr>
                <w:sz w:val="24"/>
                <w:szCs w:val="24"/>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900" w:hanging="325"/>
        <w:spacing w:after="0"/>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9" w:lineRule="exact"/>
        <w:rPr>
          <w:rFonts w:ascii="Times New Roman" w:cs="Times New Roman" w:eastAsia="Times New Roman" w:hAnsi="Times New Roman"/>
          <w:sz w:val="18"/>
          <w:szCs w:val="18"/>
          <w:color w:val="auto"/>
        </w:rPr>
      </w:pPr>
    </w:p>
    <w:p>
      <w:pPr>
        <w:ind w:left="400" w:hanging="149"/>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ind w:left="900" w:hanging="325"/>
        <w:spacing w:after="0" w:line="263" w:lineRule="auto"/>
        <w:tabs>
          <w:tab w:leader="none" w:pos="8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4960" w:type="dxa"/>
            <w:vAlign w:val="bottom"/>
          </w:tcPr>
          <w:p>
            <w:pPr>
              <w:ind w:left="2280"/>
              <w:spacing w:after="0"/>
              <w:rPr>
                <w:sz w:val="20"/>
                <w:szCs w:val="20"/>
                <w:color w:val="auto"/>
              </w:rPr>
            </w:pPr>
            <w:r>
              <w:rPr>
                <w:rFonts w:ascii="Times New Roman" w:cs="Times New Roman" w:eastAsia="Times New Roman" w:hAnsi="Times New Roman"/>
                <w:sz w:val="18"/>
                <w:szCs w:val="18"/>
                <w:color w:val="auto"/>
                <w:w w:val="99"/>
              </w:rPr>
              <w:t>ESPERION THERAPEUTICS, INC.</w:t>
            </w:r>
          </w:p>
        </w:tc>
      </w:tr>
      <w:tr>
        <w:trPr>
          <w:trHeight w:val="77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May 3, 2022</w:t>
            </w:r>
          </w:p>
        </w:tc>
        <w:tc>
          <w:tcPr>
            <w:tcW w:w="4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   /s/ Sheldon L. Koenig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0</wp:posOffset>
            </wp:positionV>
            <wp:extent cx="33261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8"/>
          <w:szCs w:val="18"/>
          <w:color w:val="auto"/>
        </w:rPr>
        <w:t>Sheldon L. Koenig</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p>
      <w:pPr>
        <w:ind w:left="600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121" w:right="4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2022,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8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82"/>
        </w:trPr>
        <w:tc>
          <w:tcPr>
            <w:tcW w:w="5880" w:type="dxa"/>
            <w:vAlign w:val="bottom"/>
          </w:tcPr>
          <w:p>
            <w:pPr>
              <w:spacing w:after="0"/>
              <w:rPr>
                <w:sz w:val="15"/>
                <w:szCs w:val="15"/>
                <w:color w:val="auto"/>
              </w:rPr>
            </w:pPr>
          </w:p>
        </w:tc>
        <w:tc>
          <w:tcPr>
            <w:tcW w:w="53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r>
      <w:tr>
        <w:trPr>
          <w:trHeight w:val="236"/>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2022,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1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1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82"/>
        </w:trPr>
        <w:tc>
          <w:tcPr>
            <w:tcW w:w="5180" w:type="dxa"/>
            <w:vAlign w:val="bottom"/>
          </w:tcPr>
          <w:p>
            <w:pPr>
              <w:spacing w:after="0"/>
              <w:rPr>
                <w:sz w:val="15"/>
                <w:szCs w:val="15"/>
                <w:color w:val="auto"/>
              </w:rPr>
            </w:pPr>
          </w:p>
        </w:tc>
        <w:tc>
          <w:tcPr>
            <w:tcW w:w="6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r>
      <w:tr>
        <w:trPr>
          <w:trHeight w:val="236"/>
        </w:trPr>
        <w:tc>
          <w:tcPr>
            <w:tcW w:w="51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Esperion Therapeutics, Inc. (the “Company”) for the period ended March 31, 2022,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spacing w:after="0" w:line="176" w:lineRule="exact"/>
        <w:rPr>
          <w:sz w:val="20"/>
          <w:szCs w:val="20"/>
          <w:color w:val="auto"/>
        </w:rPr>
      </w:pPr>
    </w:p>
    <w:p>
      <w:pPr>
        <w:ind w:left="660" w:right="340" w:hanging="652"/>
        <w:spacing w:after="0" w:line="282"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82"/>
        </w:trPr>
        <w:tc>
          <w:tcPr>
            <w:tcW w:w="5260" w:type="dxa"/>
            <w:vAlign w:val="bottom"/>
          </w:tcPr>
          <w:p>
            <w:pPr>
              <w:spacing w:after="0"/>
              <w:rPr>
                <w:sz w:val="15"/>
                <w:szCs w:val="15"/>
                <w:color w:val="auto"/>
              </w:rPr>
            </w:pPr>
          </w:p>
        </w:tc>
        <w:tc>
          <w:tcPr>
            <w:tcW w:w="5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r>
      <w:tr>
        <w:trPr>
          <w:trHeight w:val="236"/>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49" Type="http://schemas.openxmlformats.org/officeDocument/2006/relationships/hyperlink" Target="http://www.sec.gov/Archives/edgar/data/1434868/000162828022004562/a101employmentagreementd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2022-05-03T08:00:42Z</dcterms:created>
  <dcterms:modified xsi:type="dcterms:W3CDTF">2022-05-03T08:00:42Z</dcterms:modified>
</cp:coreProperties>
</file>