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240"/>
        <w:spacing w:after="0" w:line="25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10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o</w:t>
      </w:r>
    </w:p>
    <w:p>
      <w:pPr>
        <w:spacing w:after="0" w:line="8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88" w:right="339" w:bottom="1440" w:gutter="0" w:footer="0" w:header="0"/>
          <w:type w:val="continuous"/>
        </w:sectPr>
      </w:pPr>
    </w:p>
    <w:p>
      <w:pPr>
        <w:spacing w:after="0" w:line="113"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8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May 1, 2024, there were 189,460,293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398780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3"/>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Balance Sheets at March 31, 2024 and December 31, 2023</w:t>
            </w:r>
          </w:p>
        </w:tc>
        <w:tc>
          <w:tcPr>
            <w:tcW w:w="436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Income (Loss) for the three month periods ended March 31, 2024 and</w:t>
            </w:r>
          </w:p>
        </w:tc>
        <w:tc>
          <w:tcPr>
            <w:tcW w:w="11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month periods ended March 31, 2024 and 2023</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 periods ended March 31, 2024 and 2023</w:t>
            </w:r>
          </w:p>
        </w:tc>
        <w:tc>
          <w:tcPr>
            <w:tcW w:w="164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34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24"/>
                <w:szCs w:val="24"/>
                <w:color w:val="auto"/>
              </w:rPr>
            </w:pP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420" w:type="dxa"/>
            <w:vAlign w:val="bottom"/>
          </w:tcPr>
          <w:p>
            <w:pPr>
              <w:spacing w:after="0"/>
              <w:rPr>
                <w:sz w:val="24"/>
                <w:szCs w:val="24"/>
                <w:color w:val="auto"/>
              </w:rPr>
            </w:pPr>
          </w:p>
        </w:tc>
        <w:tc>
          <w:tcPr>
            <w:tcW w:w="850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92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40" w:type="dxa"/>
            <w:vAlign w:val="bottom"/>
            <w:gridSpan w:val="2"/>
          </w:tcPr>
          <w:p>
            <w:pPr>
              <w:spacing w:after="0"/>
              <w:rPr>
                <w:sz w:val="24"/>
                <w:szCs w:val="24"/>
                <w:color w:val="auto"/>
              </w:rPr>
            </w:pPr>
          </w:p>
        </w:tc>
        <w:tc>
          <w:tcPr>
            <w:tcW w:w="892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8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201,065</w:t>
            </w:r>
          </w:p>
        </w:tc>
      </w:tr>
      <w:tr>
        <w:trPr>
          <w:trHeight w:val="203"/>
        </w:trPr>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34,284</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156,224</w:t>
            </w:r>
          </w:p>
        </w:tc>
      </w:tr>
      <w:tr>
        <w:trPr>
          <w:trHeight w:val="183"/>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261,596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660,790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6"/>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$0.001 par value; 480,000,000 shares authorized as of March 31, 2024 and 480,000,000 shares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authorized as of December 31, 2023; 189,849,296 shares issued at March 31, 2024 and 120,204,513 shares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issued at December 31, 2023</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1,149,170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March 31, 2024 and December 31, 2023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(1,549,284)</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(454,994)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520" w:type="dxa"/>
        <w:tblCellMar>
          <w:top w:w="0" w:type="dxa"/>
          <w:left w:w="0" w:type="dxa"/>
          <w:bottom w:w="0" w:type="dxa"/>
          <w:right w:w="0" w:type="dxa"/>
        </w:tblCellMar>
      </w:tblPr>
      <w:tr>
        <w:trPr>
          <w:trHeight w:val="200"/>
        </w:trPr>
        <w:tc>
          <w:tcPr>
            <w:tcW w:w="5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80" w:type="dxa"/>
            <w:vAlign w:val="bottom"/>
          </w:tcPr>
          <w:p>
            <w:pPr>
              <w:spacing w:after="0"/>
              <w:rPr>
                <w:sz w:val="19"/>
                <w:szCs w:val="19"/>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shd w:val="clear" w:color="auto" w:fill="CCEEFF"/>
          </w:tcPr>
          <w:p>
            <w:pPr>
              <w:spacing w:after="0"/>
              <w:rPr>
                <w:sz w:val="19"/>
                <w:szCs w:val="19"/>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80" w:type="dxa"/>
            <w:vAlign w:val="bottom"/>
            <w:tcBorders>
              <w:bottom w:val="single" w:sz="8" w:color="CCEEFF"/>
            </w:tcBorders>
          </w:tcPr>
          <w:p>
            <w:pPr>
              <w:spacing w:after="0"/>
              <w:rPr>
                <w:sz w:val="19"/>
                <w:szCs w:val="19"/>
                <w:color w:val="auto"/>
              </w:rPr>
            </w:pPr>
          </w:p>
        </w:tc>
      </w:tr>
      <w:tr>
        <w:trPr>
          <w:trHeight w:val="250"/>
        </w:trPr>
        <w:tc>
          <w:tcPr>
            <w:tcW w:w="5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8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80" w:type="dxa"/>
            <w:vAlign w:val="bottom"/>
          </w:tcPr>
          <w:p>
            <w:pPr>
              <w:spacing w:after="0"/>
              <w:rPr>
                <w:sz w:val="19"/>
                <w:szCs w:val="19"/>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80" w:type="dxa"/>
            <w:vAlign w:val="bottom"/>
            <w:shd w:val="clear" w:color="auto" w:fill="CCEEFF"/>
          </w:tcPr>
          <w:p>
            <w:pPr>
              <w:spacing w:after="0"/>
              <w:rPr>
                <w:sz w:val="19"/>
                <w:szCs w:val="19"/>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72,934</w:t>
            </w:r>
          </w:p>
        </w:tc>
        <w:tc>
          <w:tcPr>
            <w:tcW w:w="80" w:type="dxa"/>
            <w:vAlign w:val="bottom"/>
            <w:tcBorders>
              <w:bottom w:val="single" w:sz="8" w:color="CCEEFF"/>
            </w:tcBorders>
          </w:tcPr>
          <w:p>
            <w:pPr>
              <w:spacing w:after="0"/>
              <w:rPr>
                <w:sz w:val="19"/>
                <w:szCs w:val="19"/>
                <w:color w:val="auto"/>
              </w:rPr>
            </w:pPr>
          </w:p>
        </w:tc>
      </w:tr>
      <w:tr>
        <w:trPr>
          <w:trHeight w:val="250"/>
        </w:trPr>
        <w:tc>
          <w:tcPr>
            <w:tcW w:w="5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(48,605)</w:t>
            </w:r>
          </w:p>
        </w:tc>
        <w:tc>
          <w:tcPr>
            <w:tcW w:w="80" w:type="dxa"/>
            <w:vAlign w:val="bottom"/>
          </w:tcPr>
          <w:p>
            <w:pPr>
              <w:spacing w:after="0"/>
              <w:rPr>
                <w:sz w:val="19"/>
                <w:szCs w:val="19"/>
                <w:color w:val="auto"/>
              </w:rPr>
            </w:pPr>
          </w:p>
        </w:tc>
      </w:tr>
      <w:tr>
        <w:trPr>
          <w:trHeight w:val="270"/>
        </w:trPr>
        <w:tc>
          <w:tcPr>
            <w:tcW w:w="5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8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80" w:type="dxa"/>
            <w:vAlign w:val="bottom"/>
          </w:tcPr>
          <w:p>
            <w:pPr>
              <w:spacing w:after="0"/>
              <w:rPr>
                <w:sz w:val="19"/>
                <w:szCs w:val="19"/>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2"/>
        </w:trPr>
        <w:tc>
          <w:tcPr>
            <w:tcW w:w="5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common share - basic</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80" w:type="dxa"/>
            <w:vAlign w:val="bottom"/>
          </w:tcPr>
          <w:p>
            <w:pPr>
              <w:spacing w:after="0"/>
              <w:rPr>
                <w:sz w:val="17"/>
                <w:szCs w:val="17"/>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0"/>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4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169,258,564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78,440,266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189,641,251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78,440,266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(61,718)</w:t>
            </w:r>
          </w:p>
        </w:tc>
        <w:tc>
          <w:tcPr>
            <w:tcW w:w="80" w:type="dxa"/>
            <w:vAlign w:val="bottom"/>
          </w:tcPr>
          <w:p>
            <w:pPr>
              <w:spacing w:after="0"/>
              <w:rPr>
                <w:sz w:val="19"/>
                <w:szCs w:val="19"/>
                <w:color w:val="auto"/>
              </w:rPr>
            </w:pPr>
          </w:p>
        </w:tc>
      </w:tr>
      <w:tr>
        <w:trPr>
          <w:trHeight w:val="21"/>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74,570,198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(323,778)</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stock units and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warrants, and pre-funded warrants,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issuance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2023</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87,242,969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1,127,004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(1,401,755)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(329,663)</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4"/>
        </w:trPr>
        <w:tc>
          <w:tcPr>
            <w:tcW w:w="2780" w:type="dxa"/>
            <w:vAlign w:val="bottom"/>
          </w:tcPr>
          <w:p>
            <w:pPr>
              <w:spacing w:after="0"/>
              <w:rPr>
                <w:sz w:val="24"/>
                <w:szCs w:val="24"/>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5"/>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118,210,315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(454,994)</w:t>
            </w:r>
          </w:p>
        </w:tc>
        <w:tc>
          <w:tcPr>
            <w:tcW w:w="0" w:type="dxa"/>
            <w:vAlign w:val="bottom"/>
          </w:tcPr>
          <w:p>
            <w:pPr>
              <w:spacing w:after="0"/>
              <w:rPr>
                <w:sz w:val="1"/>
                <w:szCs w:val="1"/>
                <w:color w:val="auto"/>
              </w:rPr>
            </w:pPr>
          </w:p>
        </w:tc>
      </w:tr>
      <w:tr>
        <w:trPr>
          <w:trHeight w:val="184"/>
        </w:trPr>
        <w:tc>
          <w:tcPr>
            <w:tcW w:w="27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Vesting of restricted stock units and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performance-based restricted stock</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439,783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184"/>
        </w:trPr>
        <w:tc>
          <w:tcPr>
            <w:tcW w:w="27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187,855,098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1,248,774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(1,488,262)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(294,298)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investments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3"/>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(54,356)</w:t>
            </w:r>
          </w:p>
        </w:tc>
      </w:tr>
      <w:tr>
        <w:trPr>
          <w:trHeight w:val="270"/>
        </w:trPr>
        <w:tc>
          <w:tcPr>
            <w:tcW w:w="7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sales/maturities of investments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70"/>
        </w:trPr>
        <w:tc>
          <w:tcPr>
            <w:tcW w:w="7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 net of issuance costs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net of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49,492</w:t>
            </w:r>
          </w:p>
        </w:tc>
      </w:tr>
      <w:tr>
        <w:trPr>
          <w:trHeight w:val="270"/>
        </w:trPr>
        <w:tc>
          <w:tcPr>
            <w:tcW w:w="7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124,775</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144,911</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7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issuance costs not yet paid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not yet paid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cash right of use asset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2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Esperion Therapeutics, Inc. ("the Company” or "Esperion") is a pharmaceutical company currently focused on developing and commercializing accessible, oral, once-daily, non-statin medicines for patients struggling with elevated low density lipoprotein cholesterol ("LDL-C"). Through commercial execution and advancing the Company's pre-clinical pipeline, the Company continues to evolve into a differentiated, global biotech. The Esperion team of experts are dedicated to lowering LDL-cholesterol and cardiovascular risk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The FDA approved expanded indications for NEXLETOL® (bempedoic acid) and NEXLIZET® (bempedoic acid and ezetimibe) tablets in March 2024. NEXLETOL and NEXLIZET are oral, once-daily, non-statin medicines indicated to reduce the risk of myocardial infarction and coronary revascularization in adults who are unable to take recommended statin therapy (including those not taking a statin) with established cardiovascular disease ("CVD"), or at high risk for a CVD event but without established CVD, and to reduce LDL-C in adults with primary hyperlipidemia.</w:t>
      </w:r>
    </w:p>
    <w:p>
      <w:pPr>
        <w:spacing w:after="0" w:line="1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The Company completed a global cardiovascular outcomes trial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who are statin averse and who have CVD or are at high risk for CVD. The Company initiated the CLEAR Outcomes CVOT in December 2016 and fully enrolled the study with nearly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proven to lower hard ischemic events, not only in those with atherosclerotic cardiovascular disease ("ASCVD") but also in the large number of primary prevention patients for whom limited therapies exist.</w:t>
      </w:r>
    </w:p>
    <w:p>
      <w:pPr>
        <w:spacing w:after="0" w:line="19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January 2, 2024, the Company entered into a settlement agreement with Daiichi Sankyo Europe GmbH ("DSE") to amicably resolve and dismiss the commercial dispute then pending in the Southern District of New York ("Settlement Agreement").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 Refer to Note 3 "Collaborations with Third Parties" and Note 5 "Commitments and Contingencies" for further information.</w:t>
      </w:r>
    </w:p>
    <w:p>
      <w:pPr>
        <w:spacing w:after="0" w:line="19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On January 18, 2024, the Company entered into an Underwriting Agreement (the "Underwriting Agreement") with Jefferies LLC ("Jefferies"), as representative of several underwriters (the "Underwriters"), related to an underwritten public offering (the "January 2024 Offering") of 56,700,000 shares of Common Stock of the Company, par value $0.001 per share, at a purchase price to the public of $1.50 per share. The Underwriters were also granted a</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8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The Company’s pending label expansions in Europe remain on track, with a positive opinion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received from the Committee for Medicinal Products for Human Use (“CHMP”) on March 21, 2024. The Company anticipates a final determination by the European Medicines Agency in the second quarter of 2024.</w:t>
      </w:r>
    </w:p>
    <w:p>
      <w:pPr>
        <w:spacing w:after="0" w:line="18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While management believes current cash resources and future cash received from the Company's net product sales and collaboration agreements with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2023, and the notes thereto, which are included in the Company’s Annual Report on Form 10-K for the year ended December 31, 2023. The results of operations for the interim periods are not necessarily indicative of the results to be expected for a full year, any other interim periods or any future year or period.</w:t>
      </w:r>
    </w:p>
    <w:p>
      <w:pPr>
        <w:spacing w:after="0" w:line="188"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March 31, 2024 and December 31, 2023, eleven customers accounted for all of the Company's net trade receivables. As of March 31, 2024 and December 31, 2023, three customers hold approximately 99% and 96% of the Company's trade receivables associated with net product sales, respectively. In the three months ended March 31, 2024 and 2023, three customers accounted for approximately 99% and 99% of gross sales of NEXLETOL and NEXLIZET,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19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income (loss).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Net product sales totaled $24.8 million for the three months ended March 31, 2024, and $17.0 million for the three months ended March 31, 2023.</w:t>
      </w:r>
    </w:p>
    <w:p>
      <w:pPr>
        <w:spacing w:after="0" w:line="18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trade accounts receivable in the condensed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6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Implemented Accounting Pronouncements</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280): Improvements to Reportable Segment Disclosures</w:t>
      </w:r>
      <w:r>
        <w:rPr>
          <w:rFonts w:ascii="Times New Roman" w:cs="Times New Roman" w:eastAsia="Times New Roman" w:hAnsi="Times New Roman"/>
          <w:sz w:val="17"/>
          <w:szCs w:val="17"/>
          <w:color w:val="auto"/>
        </w:rPr>
        <w:t>. ASU 2023-07 requires a public entity to disclose, on an annual and interim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segment expenses that are included within each reported measure of segment profit or loss and regularly reviewed by the chief operating decision maker ("CODM"), the title and position of the CODM, clarification regarding the CODM's use of multiple measures of a segment's profit or loss in assessing segment performance (this must include a measure that is consistent with the measurement principles under U.S. GAAP, but may also include additional measures of a segment's profit or loss), and a description of the composition of amounts within an "Other" segment line item. Further, ASU 2023-07 requires that all annual disclosures about a reportable segment's profit or loss and assets currently required by Topic 280 to be provided in interim periods. This update is effective for fiscal years beginning after December 15, 2023, and interim periods within fiscal years beginning after December 15, 2024. ASU 2023-07 should be adopted retrospectively to all periods presented in the financial statements and early adoption is permitted. The Company is currently in the process of determining the impact the implementation of ASU 2023-07 will have on the Company’s financial statement disclosures.</w:t>
      </w:r>
    </w:p>
    <w:p>
      <w:pPr>
        <w:spacing w:after="0" w:line="19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enhances income tax disclosures to further disaggregate the effective tax rate reconciliation and income taxes paid. This update is effective for fiscal years beginning after December 15, 2024. ASU 2023-09 should be adopted prospectively, but retrospective application is permitted. Further, early adoption is permitted. The Company is currently in the process of determining the impact the implementation of ASU 2023-09 will have on the Company’s financial statement disclosures.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2023.</w:t>
      </w:r>
    </w:p>
    <w:p>
      <w:pPr>
        <w:spacing w:after="0" w:line="158" w:lineRule="exact"/>
        <w:rPr>
          <w:sz w:val="20"/>
          <w:szCs w:val="20"/>
          <w:color w:val="auto"/>
        </w:rPr>
      </w:pPr>
    </w:p>
    <w:p>
      <w:pPr>
        <w:ind w:right="8440" w:firstLine="8"/>
        <w:spacing w:after="0" w:line="495"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 amended on June 18, 2020, and January</w:t>
      </w:r>
    </w:p>
    <w:p>
      <w:pPr>
        <w:spacing w:after="0" w:line="3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2, 2024 (as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On January 2, 2024, the Company entered into the Settlement Agreement with DSE to amicably resolve and dismiss their commercial dispute in the Southern District of New York. Under the Settlement Agreement, DSE has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Pursuant to the Settlement Agreement, also on January 2, 2024, the Company entered into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Amendment (the “DSE Amendment”) to the License and Collaboration Agreement dated January 2, 2019 with DSE.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has sole authority and control of regulatory communications with the EMA regarding the pending marketing authorization applications for NILEMDO and NUSTENDI.</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20" w:firstLine="243"/>
        <w:spacing w:after="0" w:line="253"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Settlement Agreement was in the scope of ASC 606. The Company determined that significantly all the upfront payment of $100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the three months ended March 31, 2024, the Company recognized collaboration revenue of approximately $113.0 million made up of milestone from the Settlement Agreement, royalty revenue from DSE and sales of bulk tablets to DSE pursuant to the supply agreement that was executed with DSE. In the three months ended March 31, 2023, the Company recognized collaboration revenue of approximately $7.1 million related to royalty revenue from DSE from the sales of NILEMDO and NUSTENDI as well as the sales of bulk tablets to DSE pursuant to the supply agreement that was executed with DSE.</w:t>
      </w:r>
    </w:p>
    <w:p>
      <w:pPr>
        <w:spacing w:after="0" w:line="17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All remaining future potential milestone amounts, including the $25 million payment based on the EMA decision on the application for NILEMDO and NUSTENDI,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spacing w:after="0" w:line="16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Otsuka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(as defined in the Otsuka Agreement) for NEXLETOL in the Otsuka Territory, and following Regulatory Approval and NHI Price Listing, up to $50.0 million upon the achievement of the primary major adverse cardiovascular events (“MACE”) endpoint in the CLEAR Outcomes study and the CV risk reduction rate in the U.S. label, depending on the range of relative risk reduction in the CLEAR Outcomes study. In addition, the Company is eligible to receive additional sales milestone payments up to $310.0 million related to total net sales achievements for Otsuka in Japan. Finally, the Company is entitled to receive tiered fifteen percent (15%) to thirty percent (30%) royalties on net sales in Japan.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In the three months ended March 31, 2024 and March 31, 2023, the Company did not have any collaboration revenue related to the Otsuka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spacing w:after="0" w:line="21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right="60" w:firstLine="243"/>
        <w:spacing w:after="0" w:line="260"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w:t>
      </w:r>
    </w:p>
    <w:p>
      <w:pPr>
        <w:spacing w:after="0" w:line="1" w:lineRule="exact"/>
        <w:rPr>
          <w:sz w:val="20"/>
          <w:szCs w:val="20"/>
          <w:color w:val="auto"/>
        </w:rPr>
      </w:pPr>
    </w:p>
    <w:p>
      <w:pPr>
        <w:ind w:right="40" w:firstLine="8"/>
        <w:spacing w:after="0" w:line="234"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The Company did not have any collaboration revenue in three months ended March 31, 2024 aside from that discussed in the "DSE Agreement Terms" section above. The Company recognized $0.2 million of collaboration revenue related to the ongoing regulatory and development activities for the three months ended March 31, 2023.</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1"/>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23"/>
        </w:trPr>
        <w:tc>
          <w:tcPr>
            <w:tcW w:w="7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65,623</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DSE Litigation</w:t>
      </w:r>
    </w:p>
    <w:p>
      <w:pPr>
        <w:spacing w:after="0" w:line="24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the Company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the amended complaint.</w:t>
      </w:r>
    </w:p>
    <w:p>
      <w:pPr>
        <w:spacing w:after="0" w:line="21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On January 2, 2024, the Company entered into the Settlement Agreement with DSE to amicably resolve and dismiss the commercial dispute then pending in the Southern District of New York.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 Refer to Note 3 “Collaborations with Third Parties”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ANDA Litigation</w:t>
      </w:r>
    </w:p>
    <w:p>
      <w:pPr>
        <w:spacing w:after="0" w:line="24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March 2024, the Company received notices from nine pharmaceutical companies (each, a “NEXLETOL ANDA Filer”), that each company had filed an Abbreviated New Drug Application (“ANDA”) with the FDA seeking approval of a generic version of NEXLETOL. Subsequently, in April 2024, the Company received a notice from three pharmaceutical companies (each, a “NEXLIZET ANDA Filer” and together with the NEXLETOL ANDA Filers, each, an “ANDA Filer”) that each company had filed an ANDA with the FDA seeking approval of a generic version of NEXLIZET.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Under the Drug Price Competition and Patent Term Restoration Act of 1984, or the Hatch-Waxman Act to the Federal Food, Drug, and Cosmetic Act (the “FDCA”), the Company has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 The Company is conducting its necessary due diligence and intends to file lawsuits within the 45-day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and short-term investments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9"/>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other income, net in the statements of operations includes interest income on cash equivalents of $2.4 million. During the three months ended March 31, 2023, other income, net in the statements of operations includes interest income on cash equivalents and investments of $0.9 million. During the three months ended March 31, 2024, there was no accretion of premiums and discounts on investments. During the three months ended March 31, 2023, other income, net in the statements of operations includes amortization of premiums and discounts on investments of $0.3 million.</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months ended March 31, 2024 and 2023.</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and 2023, there were no allowances for credit losses and all unrealized gains (losses) for available-for-sale securities were recognized in accumulated other comprehensive income (loss). As of March 31, 2024, the Company had no accrued interest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or can be corroborated by market data; and</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r>
      <w:tr>
        <w:trPr>
          <w:trHeight w:val="864"/>
        </w:trPr>
        <w:tc>
          <w:tcPr>
            <w:tcW w:w="1560" w:type="dxa"/>
            <w:vAlign w:val="bottom"/>
          </w:tcPr>
          <w:p>
            <w:pPr>
              <w:spacing w:after="0"/>
              <w:rPr>
                <w:sz w:val="24"/>
                <w:szCs w:val="24"/>
                <w:color w:val="auto"/>
              </w:rPr>
            </w:pPr>
          </w:p>
        </w:tc>
        <w:tc>
          <w:tcPr>
            <w:tcW w:w="96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15</w:t>
            </w:r>
          </w:p>
        </w:tc>
      </w:tr>
      <w:tr>
        <w:trPr>
          <w:trHeight w:val="115"/>
        </w:trPr>
        <w:tc>
          <w:tcPr>
            <w:tcW w:w="156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9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$177,777,778, and (c) the Purchasers and Purchaser Agent waived certain claimed defaults, breaches and Put Option Events under the RIPA and other related documents that may have occurred as a result of the Company’s opening of a new bank account.</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arrangement, as of March 31, 2024, the Company has recorded a liability, referred to as the “Revenue interest liability” on the balance sheet, of $279.9 million, net of $0.2 million of capitalized issuance costs in connection with the RIPA, which will be amortized to interest expense over the estimated term of the RIPA. The total redemption amount is equal to 225% of the Cumulative Purchaser Payments, or $400 million. At March 31, 2024, the remaining redemption amount is $366.7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increase or decrease in future net sales will materially impact the revenue interest liability, interest expense and the time period for repayment. The Company recorded approximately $10.9 million in interest expense related to this arrangement for the three months ended March 31, 2024, and approximately $11.3 million in interest expense related to this arrangement for the three months ended March 31, 2023.</w:t>
      </w:r>
    </w:p>
    <w:p>
      <w:pPr>
        <w:spacing w:after="0" w:line="16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repayment of the RIPA to Oberland does not have a fixed repayment schedule, rather it will be completely repaid and extinguished when the Company has repaid 225% of the Cumulative Purchaser Payments.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In 2025, the percent of net revenue paid to Oberland could reset to a higher amount if certain revenue milestones are not met. This could result in substantially higher payments starting in 2025. As the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$43.5 million in the next twelve months.</w:t>
      </w:r>
    </w:p>
    <w:p>
      <w:pPr>
        <w:spacing w:after="0" w:line="23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effective annual imputed interest rate is 15.7% as of March 31, 2024. Payments made to Oberland as a result of the Company’s net sales will reduce the revenue interest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274,778</w:t>
            </w:r>
          </w:p>
        </w:tc>
      </w:tr>
      <w:tr>
        <w:trPr>
          <w:trHeight w:val="229"/>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Interests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March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279,883</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Common Stock, can be repurchased for cash, or a combination thereof, at the Company’s election, at an initial conversion rate of 30.2151 shares of Common Stock per $1,000 principal amount of the Convertible Notes, which is equivalent to an initial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conversion price of approximately $33.096 per share of Common Stock, subject to adjustment. The Company will pay interest on the Convertible Notes semi-annually in arrears on May 15 and November 15 of each year.</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9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Common Stock being exchanged.</w:t>
      </w:r>
    </w:p>
    <w:p>
      <w:pPr>
        <w:spacing w:after="0" w:line="175" w:lineRule="exact"/>
        <w:rPr>
          <w:sz w:val="20"/>
          <w:szCs w:val="20"/>
          <w:color w:val="auto"/>
        </w:rPr>
      </w:pPr>
    </w:p>
    <w:p>
      <w:pPr>
        <w:ind w:right="820"/>
        <w:spacing w:after="0" w:line="250" w:lineRule="auto"/>
        <w:rPr>
          <w:sz w:val="20"/>
          <w:szCs w:val="20"/>
          <w:color w:val="auto"/>
        </w:rPr>
      </w:pPr>
      <w:r>
        <w:rPr>
          <w:rFonts w:ascii="Times New Roman" w:cs="Times New Roman" w:eastAsia="Times New Roman" w:hAnsi="Times New Roman"/>
          <w:sz w:val="18"/>
          <w:szCs w:val="18"/>
          <w:color w:val="auto"/>
        </w:rPr>
        <w:t>As of March 31, 2024, the principal amount of convertible notes was $265.0 million, and the unamortized debt discount and issuance costs were $3.0 million, for a net carrying amount of $262.0 million.</w:t>
      </w:r>
    </w:p>
    <w:p>
      <w:pPr>
        <w:spacing w:after="0" w:line="203"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The Company recorded $3.1 million of interest expense during the three months ended March 31, 2024, and $3.1 million of interest expense during the three months ended March 31, 2023, relating to the cash interest on the convertible notes due semi-annually and amortization of the debt issuance costs.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As of March 31, 2024, no Convertible Notes were convertible pursuant to their terms. The estimated fair value of the Convertible Notes was $220.4 million as of March 31, 2024 and $155.9 million as of December 31, 2023. The estimated fair value of the Convertible Notes was determined through consideration of quoted market prices. As of March 31, 2024, the if-converted value of the Convertible Notes did not exceed the principal value of those notes.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Common Stock upon any conversion of the Convertible Notes and/or offset any cash payments the Company is required to make in excess of the principal amount of converted notes, as the case may be, in the event that the market value per share of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March 31, 2024 and December 31, 2023, the Company had not purchased any shares under the convertible note capped call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March 31, 2024,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May 2022, the Company's stockholders approved the 2022 Stock Option and Incentive Plan (as amended,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June 2023, the Company's stockholders approved an amendment to the 2022 Plan, which increased the number of shares of Common Stock reserved for awards under the 2022 Plan to 10,650,000.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April 2020, the Company's board of directors approved the Esperion Therapeutics, Inc. 2020 Employee Stock Purchase Plan (as amended, the "ESPP") which was approved by the Company's stockholders on May 28, 2020. The ESPP allows eligible employees to authorize payroll 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three months ended March 31, 2024, the Company recognized no stock compensation expense related to the ESPP. During the three months ended March 31, 2023, the Company recognized approximately $0.1 million of stock compensation expense related to the ESPP. As of March 31, 2024, there have been 610,506 shares issued and 214,494 shares reserved for future issuance under the ESPP. The Company paused the ESPP effective as of September 1, 2023, such that the offering periods which would otherwise have begun on September 1, 2023 and March 1, 2024 did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commence. The administrator will determine the next offering period, pursuant to the ESPP.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Inducement Equity Plan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three months ended March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3,686,191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5,396,191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5,396,191</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was $0.9 million for the three months ended March 31, 2024, including $0.1 million that was capitalized into inventory, and $1.0 million for the three months ended March 31, 2023, including $0.1 million that was capitalized into inventory. As of March 31, 2024, there was $8.5 million of unrecognized stock-based compensation expense related to unvested options, which will be recognized over a weighted-average period of 2.7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three months ended March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661,850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Stock-based compensation related to PBSOs was $0.5 million for the three months ended March 31, 2024, and $0.2 million for the three months ended March 31, 2023. As of March 31, 2024, there was no unrecognized stock-based compensation expense related to unvested PBSOs.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three months ended March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3,295,225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(283,408)</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March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6,040,951</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$1.6 million for the three months ended March 31, 2024, including $0.1 million that was capitalized into inventory, and approximately $1.5 million for the three months ended March 31, 2023, including $0.1 million that was capitalized into inventory. As of March 31, 2024, there was $18.3 million of unrecognized stock-based compensation expense related to unvested RSUs, which will be recognized over a weighted-average period of 2.9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three months ended March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6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6"/>
        </w:trPr>
        <w:tc>
          <w:tcPr>
            <w:tcW w:w="73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(156,375)</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PBRSUs was $0.2 million for the three months ended March 31, 2024, including less than $0.1 million that was capitalized into inventory, and $0.1 million for the three months ended March 31, 2023, including less than $0.1 million that was capitalized into inventory. As of March 31, 2024, there was no unrecognized stock-based compensation expense related to unvested PBRSUs.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There was no provision for income taxes for the three months ended March 31, 2024 and 2023, because the Company has incurred annual operating losses since inception. At March 31, 2024,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4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4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February 21, 2023, the Company entered into a Controlled Equity Offering Sales Agreement with Cantor Fitzgerald &amp; Co., as sales agent, to provide for the issuance and sale by the Company of up to $70 million of shares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Common Stock and general market conditions. During the year ended December 31, 2023, the Company issued 3,312,908 shares of Common Stock, resulting in net proceeds of approximately $4.4 million after deducting $0.4 million of underwriting discounts and commissions and other expenses, pursuant to the New ATM Program. During the three month periods ended March 31, 2024 and 2023, the Company did not issue shares pursuant to the 2023 ATM Program.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4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 and Warrant Amendment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19, 2023, the Company entered into a Purchase Agreement with the Purchasers pursuant to which the Company agreed to issue and sell,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Direct Offering, 12,205,000 shares of Common Stock, Pre-Funded Warrants to purchase up to an aggregate of 20,965,747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lieu of shares of Common Stock, and Warrants to purchase up to 33,170,747 shares of Common Stock. The combined purchase price of each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and accompanying Warrant is $1.675 per share. The Warrants expire on September 22, 2026 and have an exercise price of $1.55.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of each Pre-Funded Warrant is $1.674 (equal to the combined purchase price per share of Common Stock and accompanying Warrant, minus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The Purchase Agreement contains customary representations, warranties, covenants and indemnification rights and obligations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Purchasers. The Registered Direct Offering closed on March 22, 2023. The warrants and pre-funded warrants were recorded at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 million to additional-paid-in-capital in accordance with ASC 815-10 based upon the allocation of the proceeds between the common shares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Registered Direct Offering and the warrants and pre-funded warrants. The Company estimated the fair value of the warrants using a Black-Scholes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option-pricing model, which is based, in part, upon subjective assumptions including but not limited to stock price volatility, the expected life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the risk-free interest rate and the fair value of Common Stock underlying the warrant. The Company estimates the volatility based on its historical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volatility that is in line with the expected remaining life of the warrants. The risk-free interest rate is based on the U.S. Treasury daily rate for a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the expected remaining life of the warrants. The expected remaining life of the warrants is assumed to be equivalent to its remaining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The Company estimated the fair value of the pre-funded warrants based on the market price of Common Stock at issuance.</w:t>
      </w:r>
    </w:p>
    <w:p>
      <w:pPr>
        <w:spacing w:after="0" w:line="2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consideration of $0.125 per amended warrant. Based on the change in the fair value of the amended warrants, the Company recorded issuance costs to additional paid-in capital of $2.9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gross proceeds of approximately $55.5 million from the Registered Direct Offering, before deducting placement agent fees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offering expenses. The net proceeds to the Company from the Registered Direct Offering, after deducting the placement agent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Company’s estimated offering expenses of $4.2 million, were approximately $51.3 million. In addition, the Company received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million as the gross consideration in connection with the Warrant Amendment Agreements. The net proceeds of the Warrant Amendment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placement fees of $0.1 million were approximately $1.1 million.</w:t>
      </w:r>
    </w:p>
    <w:p>
      <w:pPr>
        <w:spacing w:after="0" w:line="2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no pre-funded warrants were outstanding. During the three months ended March 31, 2024, 4,000,000 warrants were exercised. The following table summarizes the warrants outstanding for the Company as of March 31, 2024 and December 31, 2023:</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Warrants outstanding from Warrant Amendment Agreements, expiring</w:t>
            </w: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22, 2026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9,024,212</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9,024,212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Warrants outstanding from Purchase Agreement, expiring September 22,</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23,320,000</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27,320,000</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32,344,212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36,344,212</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Common Share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common shares outstanding during the period, without consideration for common stock equivalents. Pre-Funded Warrants are included in the weighted-average number of common shares outstanding during the periods. Diluted net income (loss) per share is computed by dividing net income (loss) by the weighted-average number of common stock equivalents outstanding for the period, including shares that potentially could be dilutive if they were exercised or vested during the period, determined using the treasury-stock method and the if-converted method for shares issuable upon conversion of convertible notes.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income (loss) per share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w:t>
      </w:r>
    </w:p>
    <w:p>
      <w:pPr>
        <w:spacing w:after="0" w:line="262"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tcPr>
          <w:p>
            <w:pPr>
              <w:spacing w:after="0"/>
              <w:rPr>
                <w:sz w:val="19"/>
                <w:szCs w:val="19"/>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 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dilutive earnings per share:</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76"/>
        </w:trPr>
        <w:tc>
          <w:tcPr>
            <w:tcW w:w="53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for convertible notes, less amortization of debt</w:t>
            </w:r>
          </w:p>
        </w:tc>
        <w:tc>
          <w:tcPr>
            <w:tcW w:w="5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costs</w:t>
            </w: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 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(61,719)</w:t>
            </w:r>
          </w:p>
        </w:tc>
      </w:tr>
      <w:tr>
        <w:trPr>
          <w:trHeight w:val="270"/>
        </w:trPr>
        <w:tc>
          <w:tcPr>
            <w:tcW w:w="5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169,258,564</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78,440,266</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common stock equivalents: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11,713,131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Unvested RSUs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478,229</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Unvested PBRSUs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74,422</w:t>
            </w: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common stock equivalents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20,382,687</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189,641,251</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78,440,266</w:t>
            </w:r>
          </w:p>
        </w:tc>
      </w:tr>
      <w:tr>
        <w:trPr>
          <w:trHeight w:val="270"/>
        </w:trPr>
        <w:tc>
          <w:tcPr>
            <w:tcW w:w="5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bl>
    <w:p>
      <w:pPr>
        <w:spacing w:after="0" w:line="3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9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47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4,374,452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433,950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3,117,397</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191,375</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70,135,033</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7,866,758</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86,292,792</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2023 and other filings that we make with the Securities and Exchange Commission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clinical activities and commercial development plans, expressed or implied by these forward-looking statements.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we use the terms "Esperion," “we,” “us,” “our,” or the "Company” in this Quarterly Report on Form 10-Q to refer to Esperion Therapeutics,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We are a pharmaceutical company currently focused on developing and commercializing accessible, oral, once-daily, non-statin medicines for patients struggling with elevated low-density lipoprotein cholesterol, or LDL-C. Through commercial execution and advancing our pre-clinical pipeline, we continue to evolve into a differentiated, global biotech. Our team of experts are dedicated to lowering LDL-cholesterol and cardiovascular risk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The FDA approved expanded indications for NEXLETOL® (bempedoic acid) and NEXLIZET® (bempedoic acid and ezetimibe)</w:t>
      </w:r>
    </w:p>
    <w:p>
      <w:pPr>
        <w:spacing w:after="0" w:line="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tablets in March 2024. NEXLETOL and NEXLIZET are oral, once-daily, non-statin medicines indicated to reduce the risk of myocardial infarction and coronary revascularization in adults who are unable to take recommended statin therapy (including those not taking a statin) with established cardiovascular disease, or CVD, or at high risk for a CVD event but without established CVD, and to reduce LDL-C in adults with primary hyperlipidemia.</w:t>
      </w:r>
    </w:p>
    <w:p>
      <w:pPr>
        <w:spacing w:after="0" w:line="20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 xml:space="preserve">We completed a global cardiovascular outcomes trial, or CVOT, —known as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holesterol </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owering via B</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mpedoic Acid, an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CL-inhibiting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egimen (CLEAR) Outcomes. The trial was designed to evaluate whether treatment with bempedoic acid reduced the risk of cardiovascular events in adult patients who are statin averse and who have CVD or are at high risk for CVD.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atherosclerotic cardiovascular disease, or ASCVD, but also in the large number of primary prevention patients for whom limited therapies exist.</w:t>
      </w:r>
    </w:p>
    <w:p>
      <w:pPr>
        <w:spacing w:after="0" w:line="21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On January 2, 2024, we entered into a settlement agreement with Daiichi Sankyo Europe GmbH, or DSE, to amicably resolve and dismiss the commercial dispute then pending in the Southern District of New York, or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 Refer to Note 3 "Collaborations with Third Parties" and Note 5 "Commitments and Contingencies" in this Quarterly Report on Form 10-Q for further information.</w:t>
      </w:r>
    </w:p>
    <w:p>
      <w:pPr>
        <w:spacing w:after="0" w:line="19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January 18, 2024, we entered into an Underwriting Agreement, or the Underwriting Agreement, with Jefferies LLC, or Jefferies, as representative of several underwriters, or the Underwriters, related to an underwritten public offering, or the January 2024 Offering, of 56,700,000 shares of common stock of the Company, par value $0.001 per share, or Common Stock, at a purchase price to the public of $1.50 per share. The Underwriters were also granted a 30-day option to purchase up to an additional 8,505,000 shares of Common Stock, at the public offering price. On January 19, 2024, Jefferies gave notice to us of its election to exercise the option to purchase additional shares, in full. Giving effect to the exercise of Underwriters' option, the January Offering closed on January 23, 2024, with proceeds to us of approximately $90.7 million, after deducting the underwriting discount and estimated offering expenses.</w:t>
      </w:r>
    </w:p>
    <w:p>
      <w:pPr>
        <w:spacing w:after="0" w:line="18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Our pending label expansions in Europe remain on track, with a positive opinion received from the Committee for Medicinal Products for Human Use, or CHMP, on March 21, 2024. We anticipate a final determination by the European Medicines Agency in the second quarter of 2024.</w:t>
      </w:r>
    </w:p>
    <w:p>
      <w:pPr>
        <w:spacing w:after="0" w:line="18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In March 2024, we received notices from nine pharmaceutical companies (each, a “NEXLETOL ANDA Filer”), that each company had filed an Abbreviated New Drug Application, or ANDA, with the FDA seeking approval of a generic version of NEXLETOL. Subsequently, in April 2024, we received a notice from three pharmaceutical companies (each, a “NEXLIZET ANDA Filer” and together with the NEXLETOL ANDA Filers, each, an “ANDA Filer”) that the company had filed an ANDA with the FDA seeking approval of a generic version of NEXLIZET.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w:t>
      </w:r>
    </w:p>
    <w:p>
      <w:pPr>
        <w:spacing w:after="0" w:line="2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Act to the Federal Food, Drug, and Cosmetic Act, or the FDCA, we have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 We are conducting the necessary due diligence and intend to file lawsuits within the 45-day period. 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purchase agreements. We have incurred losses in each year since our inception.</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have never been profitable. Our net income was $61.0 million for the three months ended March 31, 2024, primarily related to the collaboration revenue recognized from the Settlement Agreement with DSE. Our net loss was $61.7 million for the three months ended March 31, 2023.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research and development activities.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16"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CLEAR Outcomes trial in patients unwilling or unable to take statins and who had, or were at high risk for, cardiovascular disease demonstrated an average 21.1%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21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and cardiovascular risk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2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and cardiovascular risk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we incurred $1.5 million in expenses related to ongoing clinical studies.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incurred $21.7 million in expenses related to our CLEAR Outcomes CVOT and other ongoing clinical studies.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DSE, Otsuka Pharmaceutical Co., Ltd., or Otsuka, and Daiichi Sankyo Co. Ltd, or DS. Collaboration revenue in the three months ended March 31, 2024 was primarily related to the Settlement Agreement with DSE and sales of bulk tablets under supply agreements and royalty revenue received from collaboration partners. Collaboration revenue in the three months ended March 31, 2023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decrease substantially in 2024 after the completion of the CLEAR Outcomes CVOT and submitting regulatory filings to the FDA and EMA in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6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expect our selling, general and administrative expenses will increase in 2024 with our expanded regulatory approval for product indications in the U.S., expanded commercialization initiatives for NEXLETOL and NEXLIZET and increases in our associated headcount to expand our sales team.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Revenue Interest Purchase Agreement, or RIPA, with Eiger III SA LLC, or Oberland, an affiliate of Oberland Capital and our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interest income and the accretion or amortization of premiums and discounts earned on our cash, cash equivalents and investment securities and also includes other income related to the sale of leased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collaboration agreements and revenue interest liability.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23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105,681</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March 31, 2024 was $24.8 million compared to $17.0 million for the three months ended March 31, 2023, an increase of approximately $7.8 million. The increase is primarily due to prescription growth of NEXLETOL and NEXLIZET compared to the first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March 31, 2024 was $113.0 million compared to</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$7.3 million for the three months ended March 31, 2023, an increase of $105.7 million. The increase is primarily due to revenue recognized from our Settlement Agreement with DSE and increased product sales to our collaboration partners from our supply agreements and royalty sales growth within our partner territories.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March 31, 2024 was $10.1 million compared to $11.7 million for the three months ended March 31, 2023, a decrease of $1.6 million. The decrease is primarily related to lower unit tablet costs for sales in the U.S and supply sales to DSE.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were $13.4 million, compared to $31.4 million for the three months ended March 31, 2023, a decrease of $18.0 million. The decrease in research and development expenses was primarily attributable to a decrease in costs related to CLEAR Outcomes study following the announcement and presentation of our CLEAR Outcomes study results in March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expenses for the three months ended March 31, 2024, were $42.0 million, compared to $29.9 million for the three months ended March 31, 2023, an increase of $12.1 million. The increase in selling, general and administrative expenses was primarily attributable to increased commercial headcount, bonuses, and promotional costs in anticipation of the launch of the expanded labels for NEXLETOL and NEXLIZET.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2024, was $14.0 million, compared to $14.4 million for the three months ended March 31, 2023, a decrease of $0.4 million. The decrease in interest expense was primarily due to lower interest expense attributable to our RIPA with Oberland.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2024, was $2.8 million, compared to $1.3 million for the three months ended March 31, 2023, an increase of $1.5 million. The increase in other income, net was primarily due to higher interest income on our investments due to higher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purchase agreement. Pursuant to the license and collaboration agreements with DSE, DS, and Otsuka, we are eligible for substantial additional sales and regulatory milestone payments and royalties.</w:t>
      </w:r>
    </w:p>
    <w:p>
      <w:pPr>
        <w:spacing w:after="0" w:line="20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2023, we issued 3,312,908 shares of common stock resulting in net proceeds of approximately $4.4 million after deducting $0.4 million of underwriting discounts and commissions and other expenses, pursuant to the 2023 ATM Program.</w:t>
      </w:r>
    </w:p>
    <w:p>
      <w:pPr>
        <w:spacing w:after="0" w:line="2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March 19, 2023, we entered into a Securities Purchase Agreement, or Securities Purchase Agreement, pursuant to which we agreed to issue and sell, in a registered direct offering, or the Registered Direct Offering, 12,205,000 shares of our common stock, pre-funded warrants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Securities Purchase Agreement,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We received net proceeds of approximately $51.3 million related to the Registered Direct Offering and approximately $1.1 million in connection with the amended warrants.</w:t>
      </w:r>
    </w:p>
    <w:p>
      <w:pPr>
        <w:spacing w:after="0" w:line="21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On January 2, 2024, we entered into the Settlement Agreement with DSE to amicably resolve and dismiss the commercial dispute then pending in the Southern District of New York.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21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We anticipate that we will incur operating losses for the foreseeable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w:t>
      </w: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2024, our primary sources of liquidity were our cash and cash equivalents which totaled $226.6 million. We invest our cash equivalents and investments in highly liquid, interest-bearing investment-grade securities and government securities to preserve principal.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(54,356)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49,492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144,361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20,136</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totaled $53.8 million for the three months ended March 31, 2024, compared to $54.4 million of cash used in operating activities for the three months ended March 31, 2023. Net cash provided by operating activities of $53.8 million for the three months ended March 31, 2024 consisted primarily of net product sales of NEXLETOL and NEXLIZET and collaboration revenue from the Settlement Agreement with DSE partially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 Net cash used in operating activities of $54.4 million in for the three months ended March 31, 2023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2024 consisted of purchases of property, plant and equipment. Net cash provided by investing activities of $25.0 million for the three months ended March 31, 2023 consisted of proceeds from the sales of highly liquid, interest bearing investment grade and government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$90.6 million for the three months ended March 31, 2024 related primarily to our January 2024 Offering and warrant exercises, partially offset by payments on our revenue interest liability. Net cash provided by financing activities of $49.5 million for the three months ended March 31, 2023 related primarily to proceeds from our registered direct offering, partially offset by payments on our revenue interest liability.</w:t>
      </w:r>
    </w:p>
    <w:p>
      <w:pPr>
        <w:spacing w:after="0" w:line="16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As noted above, we received approximately $90.7 million, after deducting the underwriting discounts and estimated offering expenses, from our January 2024 Offering. Refer to Note 13 “Stockholders’ Deficit—Underwriting Agreement” in our condensed financial statements included in this Quarterly Report on Form 10-Q for further information.</w:t>
      </w:r>
    </w:p>
    <w:p>
      <w:pPr>
        <w:spacing w:after="0" w:line="17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$43.5 million in the next year to a maximum total payment of $323.3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In 2025, the percent of net revenue paid to Oberland could reset to a higher amount if certain revenue milestones are not met. This could result in substantially higher payments starting in 2025.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Quarterly Report on Form 10-Q for the quarter ended March 31, 2024 for further information.</w:t>
      </w:r>
    </w:p>
    <w:p>
      <w:pPr>
        <w:spacing w:after="0" w:line="213"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the Convertible Notes held in the aggregate by them (and accrued interest thereon) for shares of Common Stock, which closed on November 3, 2021. Future payments under the convertible notes include annual interest of $10.6 million and a principal payment of $265.0 million in 2025. Refer to Note 9 "Convertible Notes" in our condensed financial statements included in this Quarterly Report on Form 10-Q for the quarter ended March 31, 2024 for further information.</w:t>
      </w:r>
    </w:p>
    <w:p>
      <w:pPr>
        <w:spacing w:after="0" w:line="2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February 21, 2023,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year ended December 31, 2023, we issued 3,312,908 shares of common stock resulting in net proceeds of approximately $4.4 million after deducting $0.4 million of underwriting discounts and commissions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22, 2023, we issued and sold, in a registered direct offering, or the Registered Direct Offering, 12,205,000 shares of our common stock,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The warrants are immediately exercisable and will expire on September 22, 2026, which may provide us with additional funding, if such warrants are exercised by their holders. Each pre-funded warrant is exercisable for one share of our common stock at an exercise price of $0.001 per share. The pre-funded warrants were immediately exercisable and could be exercised at any time. As of December 31, 2023, no pre-funded warrants were outstanding. During the year ended December 31, 2023, we received net proceeds of approximately $8.4 million from the exercise of warrants and pre-funded warrants.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In the three months ended March 31, 2024, we received net proceeds of approximately $5.8 million from the exercise of warrants.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3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and payment of potential debt maturities;</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bempedoic acid and the bempedoic acid / ezetimibe combination tablet outside the U.S. and Europe and regulatory approvals for cardiovascular risk reduction in Europe;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25"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 including receiving potential milestone payments from collaboration partners;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Until such time, if ever, as we can generate substantial U.S. product revenues and collaboration royalties,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the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w:t>
      </w:r>
    </w:p>
    <w:p>
      <w:pPr>
        <w:ind w:right="240"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31,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2024,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Quarterly Report on Form 10-Q and is incorporated by reference into this Item 1.</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2023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2023.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9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9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As of December 31, 2023, our patent estate, including patents we own, on a worldwide basis, included approximately 10 issued United States patents and 17 pending United States patent applications and over 25 issued patents and over 80 pending patent applications in other foreign jurisdictions. Of our worldwide patent estate, only a subset of our patents and pending patent applications relates to our bempedoic acid program.</w:t>
      </w:r>
    </w:p>
    <w:p>
      <w:pPr>
        <w:spacing w:after="0" w:line="20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Bempedoic acid is claimed in U.S. Patent No. 7,335,799 that is scheduled to expire in December 2025, which includes 711 days of patent term adjustment, and we expect to receive a patent term extension of five years.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Additionally, we have one patent family that includes U.S. Patent No. 11,407,705, directed to the method of manufacturing high purity bempedoic acid, one pending U.S. patent application directed to the same, U.S. Patent No. 11.613.511 directed to compositions of matter of high purity bempedoic acid, one pending U.S. patent application directed to the same, U.S. Patent No. 11,760,714 directed to pharmaceutical formulations containing the same, and U.S. Patent No. 11,926,584 directed to methods of lowering low-density lipoprotein cholesterol (LDL-C) using the same and one pending U.S. patent application directed to methods of treatment using the same, and 15 pending patent applications outside of the United States. U.S. Patent Nos. 11,407,705, 11,613,511, 11,760,714, and 11,926,584, and the other patent family members, if issued, are scheduled to expire in June 2040.</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we have three patent families in which we are pursuing patent protection for our bempedoic acid and bempedoic acid / ezetimibe combination tablet in combination with one or more statins. Methods of treating familial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hypercholesterolemia with the bempedoic acid / ezetimibe combination are claimed in U.S. Patent Nos. 10,912,751 and 11,744,816 that are scheduled to expire in March 2036. We also have one pending U.S. patent application, and 9 issued patents and 14 pending applications outside the U.S. with claims directed to methods of treatment using the bempedoic acid / ezetimibe combination. Additionally, we have one pending U.S. patent application, and 7 issued patents and 23 pending applications outside the U.S. directed to the manufacturing of our bempedoic acid / ezetimibe combination tablet. We also have one issued U.S. patent, i.e., U.S. Patent No. 11,116,739, one pending U.S. patent application, and 9 issued patents and 15 pending applications outside the U.S., with claims directed to fixed dose combinations of bempedoic acid and one or more statins and/or methods of using said fixed dose combinations. U.S. Patent No. 11,116,739 is scheduled to expire in March 2036.</w:t>
      </w:r>
    </w:p>
    <w:p>
      <w:pPr>
        <w:spacing w:after="0" w:line="19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22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2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cannot assure you that any of our patents have, or that any of our pending patent applications will mature into issued patents that will include, claims with a scope sufficient to protect bempedoic acid or the bempedoic acid / ezetimibe combination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We have submitted a request for a patent term extension in the United States for U.S. Patent No. 7,335,799 and have obtained supplementary protection certificates for one of the granted, counterpart European patents. In the United States, the Drug Price Competition and Patent Term Restoration Act of 1984 permits a patent term extension of up to five years beyond the normal expiration of the patent, but the total patent term including the restoration period must not exceed 14 years following FDA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1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2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Furthermore, in March 2024, we received notices from nine pharmaceutical companies (each, a “NEXLETOL ANDA Filer”), that each company had filed an Abbreviated New Drug Application, or ANDA, with the FDA seeking approval of a generic version of NEXLETOL. Subsequently, in April 2024, we received a notice from three pharmaceutical companies (each, a “NEXLIZET ANDA Filer” and together with the NEXLETOL ANDA Filers, each, an “ANDA Filer”) that the company had filed an ANDA with the FDA seeking approval of a generic version of NEXLIZET.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 It is possible that one or more additional companies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 w:cs="Times New Roman" w:eastAsia="Times New Roman" w:hAnsi="Times New Roman"/>
          <w:sz w:val="18"/>
          <w:szCs w:val="18"/>
          <w:i w:val="1"/>
          <w:iCs w:val="1"/>
          <w:color w:val="auto"/>
        </w:rPr>
        <w:t>If the FDA, EMA or other comparable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authorities approve generic or other versions of bempedoic acid or the bempedoic acid / ezetimibe combination tablet, the sales of our approved products could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39" w:lineRule="exact"/>
        <w:rPr>
          <w:sz w:val="20"/>
          <w:szCs w:val="20"/>
          <w:color w:val="auto"/>
        </w:rPr>
      </w:pPr>
    </w:p>
    <w:p>
      <w:pPr>
        <w:ind w:left="660" w:right="3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and patent term sufficient to protect bempedoic acid or the bempedoic acid / ezetimibe combination tablet;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result in issued patents;</w:t>
      </w:r>
    </w:p>
    <w:p>
      <w:pPr>
        <w:spacing w:after="0" w:line="238"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bempedoic acid or the bempedoic acid / ezetimibe combination tablet in all of the jurisdictions we intend to pursue before our relevant patents expire;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valid and enforceable;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or those of our licensors, will not infringe upon the patents of others.</w:t>
      </w:r>
    </w:p>
    <w:p>
      <w:pPr>
        <w:spacing w:after="0" w:line="225"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1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8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Once a new drug application, or NDA, is approved, the product covered thereby becomes a “reference listed drug” in the FDA’s publication, “Approved Drug Products with Therapeutic Equivalence Evaluations,” commonly known as the Orange Book. Under the Drug Price Competition and Patent Term Restoration Act of 1984, or the Hatch-Waxman Act to the Federal Food, Drug, and Cosmetic Act, or FDCA, a company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1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 new chemical entity, or NCE,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212"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18"/>
          <w:szCs w:val="18"/>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or as lengthened or shortened by a court.</w:t>
      </w:r>
    </w:p>
    <w:p>
      <w:pPr>
        <w:spacing w:after="0" w:line="21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may submit its application four years following approval of the reference listed drug, e.g., February 21, 2024, for NEXLETOL. 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February 2024, we received notices from each NEXLETOL ANDA Filer that each company had filed an ANDA with the FDA seeking approval of a generic version of NEXLETOL. Subsequently, in [April] 2024, we received a notice from each NEXLIZET ANDA Filer that each company had filed an ANDA with the FDA seeking approval of a generic version of NEXLIZET. The ANDAs each contained Paragraph IV certifications alleging that certain of our patents covering NEXLETOL or NEXLIZET, as applicable, are invalid and/or will not be infringed by each ANDA Filer’s manufacture, use or sale of the medicine for which the ANDA was submitted.</w:t>
      </w:r>
    </w:p>
    <w:p>
      <w:pPr>
        <w:spacing w:after="0" w:line="21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Under the FDCA, we have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 We are conducting the necessary due diligence and intend to file lawsuits within the 45-day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 Competition that NEXLETOL or NEXLIZET could face from an approved generic and other versions of NEXLETOL or NEXLIZET could materially and adversely affect our future revenue, profitability, and cash flows and substantially limit our ability to obtain a return on the investments we have made in developing NEXLETOL and NEXLIZET. Furthermore, the Federal Trade Commission, or FTC, has brought lawsuits to challenge ANDA litigation settlements as anti-competitive. If we settle any ANDA litigation, we may also face an FTC challenge with respect to the related settlement which may result in additional expense or penalty.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2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23"/>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57">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Certificate of Incorporation of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Registrant</w:t>
              </w:r>
            </w:hyperlink>
          </w:p>
        </w:tc>
        <w:tc>
          <w:tcPr>
            <w:tcW w:w="3060" w:type="dxa"/>
            <w:vAlign w:val="bottom"/>
            <w:tcBorders>
              <w:top w:val="single" w:sz="8" w:color="0000FF"/>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Incorporation of the Registrant</w:t>
              </w:r>
            </w:hyperlink>
          </w:p>
        </w:tc>
        <w:tc>
          <w:tcPr>
            <w:tcW w:w="23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Certificate of Validation relating to Certificate of Amendment to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Certificate of Incorporation of the</w:t>
              </w:r>
            </w:hyperlink>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Registrant dated May 26, 2022</w:t>
              </w:r>
            </w:hyperlink>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6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Certificate of Amendment No. 2 to Amended and Restated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Certificate of Incorporation of the Registrant</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5</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Second Amended and Restated Bylaws of the Registrant dated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April 29, 2021</w:t>
              </w:r>
            </w:hyperlink>
          </w:p>
        </w:tc>
        <w:tc>
          <w:tcPr>
            <w:tcW w:w="3120" w:type="dxa"/>
            <w:vAlign w:val="bottom"/>
            <w:tcBorders>
              <w:top w:val="single" w:sz="8" w:color="0000FF"/>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59"/>
              <w:spacing w:after="0"/>
              <w:rPr>
                <w:rFonts w:ascii="Times New Roman" w:cs="Times New Roman" w:eastAsia="Times New Roman" w:hAnsi="Times New Roman"/>
                <w:sz w:val="16"/>
                <w:szCs w:val="16"/>
                <w:color w:val="0000FF"/>
                <w:w w:val="99"/>
              </w:rPr>
            </w:pPr>
            <w:hyperlink r:id="rId62">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9"/>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Specimen Common Stock Certificate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Confidential Settlement Agreement and Release, dated as of</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January 2, 2024, between the Registrant and Daiichi Sankyo</w:t>
            </w:r>
          </w:p>
        </w:tc>
        <w:tc>
          <w:tcPr>
            <w:tcW w:w="20" w:type="dxa"/>
            <w:vAlign w:val="bottom"/>
            <w:tcBorders>
              <w:bottom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Borders>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Europe GmbH**</w:t>
            </w:r>
          </w:p>
        </w:tc>
        <w:tc>
          <w:tcPr>
            <w:tcW w:w="2820" w:type="dxa"/>
            <w:vAlign w:val="bottom"/>
            <w:gridSpan w:val="11"/>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3rd Amendment to the License and Collaboration Agreement by</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18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and between the Registrant and Daiichi Sankyo Europe GMBH</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dated January 2, 2024 **</w:t>
            </w:r>
          </w:p>
        </w:tc>
        <w:tc>
          <w:tcPr>
            <w:tcW w:w="2480" w:type="dxa"/>
            <w:vAlign w:val="bottom"/>
            <w:tcBorders>
              <w:top w:val="single" w:sz="8" w:color="0000FF"/>
            </w:tcBorders>
            <w:gridSpan w:val="1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p>
        </w:tc>
        <w:tc>
          <w:tcPr>
            <w:tcW w:w="460" w:type="dxa"/>
            <w:vAlign w:val="bottom"/>
          </w:tcPr>
          <w:p>
            <w:pPr>
              <w:spacing w:after="0"/>
              <w:rPr>
                <w:sz w:val="24"/>
                <w:szCs w:val="2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1st Amendment to License and Collaboration Agreement, by and</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4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between the Registrant and Daiichi Sankyo Company, Limited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dated January 2, 2024**</w:t>
            </w:r>
          </w:p>
        </w:tc>
        <w:tc>
          <w:tcPr>
            <w:tcW w:w="2460" w:type="dxa"/>
            <w:vAlign w:val="bottom"/>
            <w:tcBorders>
              <w:top w:val="single" w:sz="8" w:color="0000FF"/>
            </w:tcBorders>
            <w:gridSpan w:val="11"/>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360" w:type="dxa"/>
            <w:vAlign w:val="bottom"/>
            <w:tcBorders>
              <w:top w:val="single" w:sz="8" w:color="0000FF"/>
            </w:tcBorders>
            <w:gridSpan w:val="27"/>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20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15"/>
          </w:tcPr>
          <w:p>
            <w:pPr>
              <w:spacing w:after="0"/>
              <w:rPr>
                <w:sz w:val="12"/>
                <w:szCs w:val="12"/>
                <w:color w:val="auto"/>
              </w:rPr>
            </w:pPr>
          </w:p>
        </w:tc>
        <w:tc>
          <w:tcPr>
            <w:tcW w:w="22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w:t>
      </w:r>
    </w:p>
    <w:p>
      <w:pPr>
        <w:spacing w:after="0" w:line="252" w:lineRule="exact"/>
        <w:rPr>
          <w:sz w:val="20"/>
          <w:szCs w:val="20"/>
          <w:color w:val="auto"/>
        </w:rPr>
      </w:pPr>
    </w:p>
    <w:p>
      <w:pPr>
        <w:ind w:left="900" w:hanging="325"/>
        <w:spacing w:after="0" w:line="266" w:lineRule="auto"/>
        <w:tabs>
          <w:tab w:leader="none" w:pos="8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May 7, 2024</w:t>
            </w:r>
          </w:p>
        </w:tc>
        <w:tc>
          <w:tcPr>
            <w:tcW w:w="2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3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May 7, 2024</w:t>
            </w:r>
          </w:p>
        </w:tc>
        <w:tc>
          <w:tcPr>
            <w:tcW w:w="2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30"/>
        </w:trPr>
        <w:tc>
          <w:tcPr>
            <w:tcW w:w="3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21" w:right="359" w:bottom="1440" w:gutter="0" w:footer="0" w:header="0"/>
        </w:sectPr>
      </w:pPr>
    </w:p>
    <w:bookmarkStart w:id="46" w:name="page47"/>
    <w:bookmarkEnd w:id="46"/>
    <w:p>
      <w:pPr>
        <w:ind w:left="10040"/>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right="40"/>
        <w:spacing w:after="0" w:line="246"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CONFIDENTIAL SETTLEMENT AGREEMENT AND RELEASE</w:t>
      </w:r>
    </w:p>
    <w:p>
      <w:pPr>
        <w:spacing w:after="0" w:line="233" w:lineRule="exact"/>
        <w:rPr>
          <w:sz w:val="20"/>
          <w:szCs w:val="20"/>
          <w:color w:val="auto"/>
        </w:rPr>
      </w:pPr>
    </w:p>
    <w:p>
      <w:pPr>
        <w:jc w:val="both"/>
        <w:ind w:firstLine="108"/>
        <w:spacing w:after="0" w:line="236" w:lineRule="auto"/>
        <w:rPr>
          <w:sz w:val="20"/>
          <w:szCs w:val="20"/>
          <w:color w:val="auto"/>
        </w:rPr>
      </w:pPr>
      <w:r>
        <w:rPr>
          <w:rFonts w:ascii="Times New Roman" w:cs="Times New Roman" w:eastAsia="Times New Roman" w:hAnsi="Times New Roman"/>
          <w:sz w:val="22"/>
          <w:szCs w:val="22"/>
          <w:color w:val="auto"/>
        </w:rPr>
        <w:t>This Confidential Settlement Agreement and Release (the “</w:t>
      </w: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 is made and entered into as of January 2, 2024 (the “</w:t>
      </w:r>
      <w:r>
        <w:rPr>
          <w:rFonts w:ascii="Times New Roman" w:cs="Times New Roman" w:eastAsia="Times New Roman" w:hAnsi="Times New Roman"/>
          <w:sz w:val="22"/>
          <w:szCs w:val="22"/>
          <w:b w:val="1"/>
          <w:bCs w:val="1"/>
          <w:color w:val="auto"/>
        </w:rPr>
        <w:t>SA Effective Date</w:t>
      </w:r>
      <w:r>
        <w:rPr>
          <w:rFonts w:ascii="Times New Roman" w:cs="Times New Roman" w:eastAsia="Times New Roman" w:hAnsi="Times New Roman"/>
          <w:sz w:val="22"/>
          <w:szCs w:val="22"/>
          <w:color w:val="auto"/>
        </w:rPr>
        <w:t>”) between Esperion Therapeutics, Inc. (“</w:t>
      </w:r>
      <w:r>
        <w:rPr>
          <w:rFonts w:ascii="Times New Roman" w:cs="Times New Roman" w:eastAsia="Times New Roman" w:hAnsi="Times New Roman"/>
          <w:sz w:val="22"/>
          <w:szCs w:val="22"/>
          <w:b w:val="1"/>
          <w:bCs w:val="1"/>
          <w:color w:val="auto"/>
        </w:rPr>
        <w:t>Esperion</w:t>
      </w:r>
      <w:r>
        <w:rPr>
          <w:rFonts w:ascii="Times New Roman" w:cs="Times New Roman" w:eastAsia="Times New Roman" w:hAnsi="Times New Roman"/>
          <w:sz w:val="22"/>
          <w:szCs w:val="22"/>
          <w:color w:val="auto"/>
        </w:rPr>
        <w:t>”), a Delaware corporation with offices at 3891 Ranchero Drive, Suite 150, Ann Arbor, Michigan, USA 48108, and Daiichi Sankyo Europe GmbH (“</w:t>
      </w:r>
      <w:r>
        <w:rPr>
          <w:rFonts w:ascii="Times New Roman" w:cs="Times New Roman" w:eastAsia="Times New Roman" w:hAnsi="Times New Roman"/>
          <w:sz w:val="22"/>
          <w:szCs w:val="22"/>
          <w:b w:val="1"/>
          <w:bCs w:val="1"/>
          <w:color w:val="auto"/>
        </w:rPr>
        <w:t>DSE</w:t>
      </w:r>
      <w:r>
        <w:rPr>
          <w:rFonts w:ascii="Times New Roman" w:cs="Times New Roman" w:eastAsia="Times New Roman" w:hAnsi="Times New Roman"/>
          <w:sz w:val="22"/>
          <w:szCs w:val="22"/>
          <w:color w:val="auto"/>
        </w:rPr>
        <w:t>”), a company with limited liability incorporated under German law with offices at Zielstattstr 48, 81379 Munich, Germany. Esperion and DSE may each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108"/>
        <w:spacing w:after="0" w:line="233" w:lineRule="auto"/>
        <w:rPr>
          <w:sz w:val="20"/>
          <w:szCs w:val="20"/>
          <w:color w:val="auto"/>
        </w:rPr>
      </w:pPr>
      <w:r>
        <w:rPr>
          <w:rFonts w:ascii="Times New Roman" w:cs="Times New Roman" w:eastAsia="Times New Roman" w:hAnsi="Times New Roman"/>
          <w:sz w:val="22"/>
          <w:szCs w:val="22"/>
          <w:color w:val="auto"/>
        </w:rPr>
        <w:t>WHEREAS, Esperion and, as applicable, DSE or Daiichi Sankyo Company, Limited (“</w:t>
      </w:r>
      <w:r>
        <w:rPr>
          <w:rFonts w:ascii="Times New Roman" w:cs="Times New Roman" w:eastAsia="Times New Roman" w:hAnsi="Times New Roman"/>
          <w:sz w:val="22"/>
          <w:szCs w:val="22"/>
          <w:b w:val="1"/>
          <w:bCs w:val="1"/>
          <w:color w:val="auto"/>
        </w:rPr>
        <w:t>DS</w:t>
      </w:r>
      <w:r>
        <w:rPr>
          <w:rFonts w:ascii="Times New Roman" w:cs="Times New Roman" w:eastAsia="Times New Roman" w:hAnsi="Times New Roman"/>
          <w:sz w:val="22"/>
          <w:szCs w:val="22"/>
          <w:color w:val="auto"/>
        </w:rPr>
        <w:t>”) are parties to various agreements, including, without limitation, a License and Collaboration Agreement dated January 2, 2019 (as amended on June 18, 2020 and March 19, 2021, the “</w:t>
      </w:r>
      <w:r>
        <w:rPr>
          <w:rFonts w:ascii="Times New Roman" w:cs="Times New Roman" w:eastAsia="Times New Roman" w:hAnsi="Times New Roman"/>
          <w:sz w:val="22"/>
          <w:szCs w:val="22"/>
          <w:b w:val="1"/>
          <w:bCs w:val="1"/>
          <w:color w:val="auto"/>
        </w:rPr>
        <w:t>EU License Agreement</w:t>
      </w:r>
      <w:r>
        <w:rPr>
          <w:rFonts w:ascii="Times New Roman" w:cs="Times New Roman" w:eastAsia="Times New Roman" w:hAnsi="Times New Roman"/>
          <w:sz w:val="22"/>
          <w:szCs w:val="22"/>
          <w:color w:val="auto"/>
        </w:rPr>
        <w:t>”), pursuant to which Esperion granted DSE exclusive rights to market and sell its bempedoic acid product and bempedoic acid and ezetimibe combination product in certain European countries specified therein (the “</w:t>
      </w:r>
      <w:r>
        <w:rPr>
          <w:rFonts w:ascii="Times New Roman" w:cs="Times New Roman" w:eastAsia="Times New Roman" w:hAnsi="Times New Roman"/>
          <w:sz w:val="22"/>
          <w:szCs w:val="22"/>
          <w:b w:val="1"/>
          <w:bCs w:val="1"/>
          <w:color w:val="auto"/>
        </w:rPr>
        <w:t>DSE Territory</w:t>
      </w:r>
      <w:r>
        <w:rPr>
          <w:rFonts w:ascii="Times New Roman" w:cs="Times New Roman" w:eastAsia="Times New Roman" w:hAnsi="Times New Roman"/>
          <w:sz w:val="22"/>
          <w:szCs w:val="22"/>
          <w:color w:val="auto"/>
        </w:rPr>
        <w:t>”), a License and Collaboration Agreement dated April 26, 2021, pursuant to which Esperion granted DS exclusive rights to market and sell the bempedoic acid product and bempedoic acid and ezetimibe combination product in certain territories in Asia and/or South or Central America specified therein (the “</w:t>
      </w:r>
      <w:r>
        <w:rPr>
          <w:rFonts w:ascii="Times New Roman" w:cs="Times New Roman" w:eastAsia="Times New Roman" w:hAnsi="Times New Roman"/>
          <w:sz w:val="22"/>
          <w:szCs w:val="22"/>
          <w:b w:val="1"/>
          <w:bCs w:val="1"/>
          <w:color w:val="auto"/>
        </w:rPr>
        <w:t>ASCA License Agreement</w:t>
      </w:r>
      <w:r>
        <w:rPr>
          <w:rFonts w:ascii="Times New Roman" w:cs="Times New Roman" w:eastAsia="Times New Roman" w:hAnsi="Times New Roman"/>
          <w:sz w:val="22"/>
          <w:szCs w:val="22"/>
          <w:color w:val="auto"/>
        </w:rPr>
        <w:t>”), a Manufacturing and Supply Agreement, dated July 30, 2019 (as amended on November 20, 2020, the “</w:t>
      </w:r>
      <w:r>
        <w:rPr>
          <w:rFonts w:ascii="Times New Roman" w:cs="Times New Roman" w:eastAsia="Times New Roman" w:hAnsi="Times New Roman"/>
          <w:sz w:val="22"/>
          <w:szCs w:val="22"/>
          <w:b w:val="1"/>
          <w:bCs w:val="1"/>
          <w:color w:val="auto"/>
        </w:rPr>
        <w:t>EU Supply Agreement</w:t>
      </w:r>
      <w:r>
        <w:rPr>
          <w:rFonts w:ascii="Times New Roman" w:cs="Times New Roman" w:eastAsia="Times New Roman" w:hAnsi="Times New Roman"/>
          <w:sz w:val="22"/>
          <w:szCs w:val="22"/>
          <w:color w:val="auto"/>
        </w:rPr>
        <w:t>”), and a Manufacturing and Supply Agreement, dated July 27, 2021 (the “</w:t>
      </w:r>
      <w:r>
        <w:rPr>
          <w:rFonts w:ascii="Times New Roman" w:cs="Times New Roman" w:eastAsia="Times New Roman" w:hAnsi="Times New Roman"/>
          <w:sz w:val="22"/>
          <w:szCs w:val="22"/>
          <w:b w:val="1"/>
          <w:bCs w:val="1"/>
          <w:color w:val="auto"/>
        </w:rPr>
        <w:t>ASCA Supply Agreement</w:t>
      </w:r>
      <w:r>
        <w:rPr>
          <w:rFonts w:ascii="Times New Roman" w:cs="Times New Roman" w:eastAsia="Times New Roman" w:hAnsi="Times New Roman"/>
          <w:sz w:val="22"/>
          <w:szCs w:val="22"/>
          <w:color w:val="auto"/>
        </w:rPr>
        <w:t>” and, together with the EU Supply Agreement, the “</w:t>
      </w:r>
      <w:r>
        <w:rPr>
          <w:rFonts w:ascii="Times New Roman" w:cs="Times New Roman" w:eastAsia="Times New Roman" w:hAnsi="Times New Roman"/>
          <w:sz w:val="22"/>
          <w:szCs w:val="22"/>
          <w:b w:val="1"/>
          <w:bCs w:val="1"/>
          <w:color w:val="auto"/>
        </w:rPr>
        <w:t>Supply Agreements</w:t>
      </w:r>
      <w:r>
        <w:rPr>
          <w:rFonts w:ascii="Times New Roman" w:cs="Times New Roman" w:eastAsia="Times New Roman" w:hAnsi="Times New Roman"/>
          <w:sz w:val="22"/>
          <w:szCs w:val="22"/>
          <w:color w:val="auto"/>
        </w:rPr>
        <w:t>” and, together with the EU License Agreement and the ASCA License Agreement, “</w:t>
      </w:r>
      <w:r>
        <w:rPr>
          <w:rFonts w:ascii="Times New Roman" w:cs="Times New Roman" w:eastAsia="Times New Roman" w:hAnsi="Times New Roman"/>
          <w:sz w:val="22"/>
          <w:szCs w:val="22"/>
          <w:b w:val="1"/>
          <w:b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20" w:firstLine="108"/>
        <w:spacing w:after="0" w:line="258" w:lineRule="auto"/>
        <w:rPr>
          <w:sz w:val="20"/>
          <w:szCs w:val="20"/>
          <w:color w:val="auto"/>
        </w:rPr>
      </w:pPr>
      <w:r>
        <w:rPr>
          <w:rFonts w:ascii="Times New Roman" w:cs="Times New Roman" w:eastAsia="Times New Roman" w:hAnsi="Times New Roman"/>
          <w:sz w:val="22"/>
          <w:szCs w:val="22"/>
          <w:color w:val="auto"/>
        </w:rPr>
        <w:t>WHEREAS, Esperion filed a complaint for declaratory relief against DSE on March 27, 2023, last amended on May 4, 2023, in the United States District Court for the Southern District of New York, Case No. 23-cv-02568-ER (the “</w:t>
      </w: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08"/>
        <w:spacing w:after="0" w:line="258" w:lineRule="auto"/>
        <w:rPr>
          <w:sz w:val="20"/>
          <w:szCs w:val="20"/>
          <w:color w:val="auto"/>
        </w:rPr>
      </w:pPr>
      <w:r>
        <w:rPr>
          <w:rFonts w:ascii="Times New Roman" w:cs="Times New Roman" w:eastAsia="Times New Roman" w:hAnsi="Times New Roman"/>
          <w:sz w:val="22"/>
          <w:szCs w:val="22"/>
          <w:color w:val="auto"/>
        </w:rPr>
        <w:t>WHEREAS, Esperion requested from the Court certain declarations regarding the EU License Agreement and the conditions for triggering the Regulatory Milestone Payment;</w:t>
      </w:r>
    </w:p>
    <w:p>
      <w:pPr>
        <w:spacing w:after="0" w:line="185" w:lineRule="exact"/>
        <w:rPr>
          <w:sz w:val="20"/>
          <w:szCs w:val="20"/>
          <w:color w:val="auto"/>
        </w:rPr>
      </w:pPr>
    </w:p>
    <w:p>
      <w:pPr>
        <w:jc w:val="both"/>
        <w:ind w:firstLine="108"/>
        <w:spacing w:after="0" w:line="244" w:lineRule="auto"/>
        <w:rPr>
          <w:sz w:val="20"/>
          <w:szCs w:val="20"/>
          <w:color w:val="auto"/>
        </w:rPr>
      </w:pPr>
      <w:r>
        <w:rPr>
          <w:rFonts w:ascii="Times New Roman" w:cs="Times New Roman" w:eastAsia="Times New Roman" w:hAnsi="Times New Roman"/>
          <w:sz w:val="22"/>
          <w:szCs w:val="22"/>
          <w:color w:val="auto"/>
        </w:rPr>
        <w:t>WHEREAS, DSE asked the Court to deny Esperion’s requested declaratory relief, and instead requested from the Court alternative declarations regarding the EU License Agreement and the conditions for triggering the Regulatory Milestone Payment;</w:t>
      </w:r>
    </w:p>
    <w:p>
      <w:pPr>
        <w:spacing w:after="0" w:line="187" w:lineRule="exact"/>
        <w:rPr>
          <w:sz w:val="20"/>
          <w:szCs w:val="20"/>
          <w:color w:val="auto"/>
        </w:rPr>
      </w:pPr>
    </w:p>
    <w:p>
      <w:pPr>
        <w:jc w:val="both"/>
        <w:ind w:firstLine="108"/>
        <w:spacing w:after="0" w:line="239" w:lineRule="auto"/>
        <w:rPr>
          <w:sz w:val="20"/>
          <w:szCs w:val="20"/>
          <w:color w:val="auto"/>
        </w:rPr>
      </w:pPr>
      <w:r>
        <w:rPr>
          <w:rFonts w:ascii="Times New Roman" w:cs="Times New Roman" w:eastAsia="Times New Roman" w:hAnsi="Times New Roman"/>
          <w:sz w:val="22"/>
          <w:szCs w:val="22"/>
          <w:color w:val="auto"/>
        </w:rPr>
        <w:t>WHEREAS, the Parties have negotiated a resolution of the claims asserted in the Litigation and any other disputes between the Parties related to the EU License Agreement or the EU Supply Agreement, including any and all claims that have been asserted, or could have been asserted, in the Litigation, or with respect to the Regulatory Milestone Payment in Section 9.2 of the EU License Agreement; and</w:t>
      </w:r>
    </w:p>
    <w:p>
      <w:pPr>
        <w:spacing w:after="0" w:line="207" w:lineRule="exact"/>
        <w:rPr>
          <w:sz w:val="20"/>
          <w:szCs w:val="20"/>
          <w:color w:val="auto"/>
        </w:rPr>
      </w:pPr>
    </w:p>
    <w:p>
      <w:pPr>
        <w:jc w:val="both"/>
        <w:ind w:firstLine="108"/>
        <w:spacing w:after="0" w:line="258" w:lineRule="auto"/>
        <w:rPr>
          <w:sz w:val="20"/>
          <w:szCs w:val="20"/>
          <w:color w:val="auto"/>
        </w:rPr>
      </w:pPr>
      <w:r>
        <w:rPr>
          <w:rFonts w:ascii="Times New Roman" w:cs="Times New Roman" w:eastAsia="Times New Roman" w:hAnsi="Times New Roman"/>
          <w:sz w:val="22"/>
          <w:szCs w:val="22"/>
          <w:color w:val="auto"/>
        </w:rPr>
        <w:t>WHEREAS, without admitting any liability on either part, the Parties now wish to settle the Litigation amicably in accordance with the terms of this Settlement Agreement.</w:t>
      </w:r>
    </w:p>
    <w:p>
      <w:pPr>
        <w:sectPr>
          <w:pgSz w:w="11900" w:h="16838" w:orient="portrait"/>
          <w:cols w:equalWidth="0" w:num="1">
            <w:col w:w="11240"/>
          </w:cols>
          <w:pgMar w:left="320" w:top="125" w:right="339" w:bottom="1440" w:gutter="0" w:footer="0" w:header="0"/>
        </w:sectPr>
      </w:pPr>
    </w:p>
    <w:bookmarkStart w:id="47" w:name="page48"/>
    <w:bookmarkEnd w:id="47"/>
    <w:p>
      <w:pPr>
        <w:spacing w:after="0" w:line="212" w:lineRule="exact"/>
        <w:rPr>
          <w:sz w:val="20"/>
          <w:szCs w:val="20"/>
          <w:color w:val="auto"/>
        </w:rPr>
      </w:pPr>
    </w:p>
    <w:p>
      <w:pPr>
        <w:jc w:val="both"/>
        <w:ind w:firstLine="108"/>
        <w:spacing w:after="0" w:line="239" w:lineRule="auto"/>
        <w:rPr>
          <w:sz w:val="20"/>
          <w:szCs w:val="20"/>
          <w:color w:val="auto"/>
        </w:rPr>
      </w:pPr>
      <w:r>
        <w:rPr>
          <w:rFonts w:ascii="Times New Roman" w:cs="Times New Roman" w:eastAsia="Times New Roman" w:hAnsi="Times New Roman"/>
          <w:sz w:val="22"/>
          <w:szCs w:val="22"/>
          <w:color w:val="auto"/>
        </w:rPr>
        <w:t>NOW, THEREFORE, with the intent and purpose of settling the Litigation, satisfying any and all obligations related to the Regulatory Milestone Payment in the EU License Agreement, and, with regards to the EU License Agreement, the ASCA License Agreement and the Supply Agreements, adjusting certain other rights and obligations in their collaboration, and in consideration of the promises and covenants set forth in this Settlement Agreement, the Parties agree as follows.</w:t>
      </w:r>
    </w:p>
    <w:p>
      <w:pPr>
        <w:spacing w:after="0" w:line="207" w:lineRule="exact"/>
        <w:rPr>
          <w:sz w:val="20"/>
          <w:szCs w:val="20"/>
          <w:color w:val="auto"/>
        </w:rPr>
      </w:pPr>
    </w:p>
    <w:p>
      <w:pPr>
        <w:jc w:val="both"/>
        <w:ind w:firstLine="108"/>
        <w:spacing w:after="0" w:line="258" w:lineRule="auto"/>
        <w:rPr>
          <w:sz w:val="20"/>
          <w:szCs w:val="20"/>
          <w:color w:val="auto"/>
        </w:rPr>
      </w:pPr>
      <w:r>
        <w:rPr>
          <w:rFonts w:ascii="Times New Roman" w:cs="Times New Roman" w:eastAsia="Times New Roman" w:hAnsi="Times New Roman"/>
          <w:sz w:val="22"/>
          <w:szCs w:val="22"/>
          <w:color w:val="auto"/>
        </w:rPr>
        <w:t>Capitalized terms used herein without definition have the meanings ascribed to them in the EU License Agreement, the ASCA License Agreement, the EU Supply Agreement or the ASCA Supply Agreement, as applicable.</w:t>
      </w:r>
    </w:p>
    <w:p>
      <w:pPr>
        <w:spacing w:after="0" w:line="168" w:lineRule="exact"/>
        <w:rPr>
          <w:sz w:val="20"/>
          <w:szCs w:val="20"/>
          <w:color w:val="auto"/>
        </w:rPr>
      </w:pPr>
    </w:p>
    <w:p>
      <w:pPr>
        <w:jc w:val="both"/>
        <w:ind w:left="660" w:hanging="328"/>
        <w:spacing w:after="0" w:line="238" w:lineRule="auto"/>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and Transition of API and Bulk Product Supply for DSE and DS Territories. </w:t>
      </w:r>
      <w:r>
        <w:rPr>
          <w:rFonts w:ascii="Times New Roman" w:cs="Times New Roman" w:eastAsia="Times New Roman" w:hAnsi="Times New Roman"/>
          <w:sz w:val="22"/>
          <w:szCs w:val="22"/>
          <w:color w:val="auto"/>
        </w:rPr>
        <w:t>Esperion and DSE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of itself and DS) each hereby approve the Technology Transfer Agreement attached hereto as Exhibit A to be in final, execution form. Concurrently with this Settlement Agreement, Esperion and DSE are executing such Technology Transfer Agreement and, as promptly as practicable after the SA Effective Date, DS shall execute such Technology Transfer Agreement.</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33" w:lineRule="auto"/>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Triple Combination Product Expansion in EU License Agreement and ASCA License Agreement. </w:t>
      </w:r>
      <w:r>
        <w:rPr>
          <w:rFonts w:ascii="Times New Roman" w:cs="Times New Roman" w:eastAsia="Times New Roman" w:hAnsi="Times New Roman"/>
          <w:sz w:val="22"/>
          <w:szCs w:val="22"/>
          <w:color w:val="auto"/>
        </w:rPr>
        <w:t>Esperion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DSE each hereby approve the Third Amendment to the EU License Agreement attached hereto as Exhibit B to be in final, execution form, and, concurrently with this Settlement Agreement, Esperion and DSE are executing such Third Amendment to the EU License Agreement. Esperion and DSE (on behalf of itself and DS) each hereby approve the First Amendment to the ASCA License Agreement attached hereto as Exhibit C to be in final, execution form, and concurrently with this Settlement Agreement, Esperion, and, as promptly as practicable after the SA Effective Date, DS, are executing such First Amendment to the ASCA License Agreement. As set forth in such attached amendments, DSE in the DSE Territory and DS in the DS Territory, respectively, are granted an exclusive license under the Esperion Technology to develop and commercialize TC Products, but neither DSE nor DS is under any obligation to use Commercially Reasonable Efforts to so develop and commercialize the TC Products in, respectively, the DSE Territory and the DS Territory (as each such terms are defined in such applicable attached amendment).</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Payments</w:t>
      </w:r>
      <w:r>
        <w:rPr>
          <w:rFonts w:ascii="Times New Roman" w:cs="Times New Roman" w:eastAsia="Times New Roman" w:hAnsi="Times New Roman"/>
          <w:sz w:val="22"/>
          <w:szCs w:val="22"/>
          <w:color w:val="auto"/>
        </w:rPr>
        <w:t>. As consideration for the rights and obligations in this Settlement Agreement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resolution of the declarations sought in the Litigation and in exchange for Esperion forgoing as set forth below all rights or claims to the Regulatory Milestone Payment in the EU License Agreement), the Technology Transfer Agreement, and the amendments to the EU License Agreement and the ASCA License Agreement, DSE agrees to pay Esperion:</w:t>
      </w:r>
    </w:p>
    <w:p>
      <w:pPr>
        <w:spacing w:after="0" w:line="194" w:lineRule="exact"/>
        <w:rPr>
          <w:rFonts w:ascii="Times New Roman" w:cs="Times New Roman" w:eastAsia="Times New Roman" w:hAnsi="Times New Roman"/>
          <w:sz w:val="22"/>
          <w:szCs w:val="22"/>
          <w:color w:val="auto"/>
        </w:rPr>
      </w:pPr>
    </w:p>
    <w:p>
      <w:pPr>
        <w:jc w:val="both"/>
        <w:ind w:left="1960" w:hanging="332"/>
        <w:spacing w:after="0" w:line="244" w:lineRule="auto"/>
        <w:tabs>
          <w:tab w:leader="none" w:pos="194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Hundred Million United States Dollars ($100,000,000)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of the later of the SA Effective Date and receipt from Esperion of an invoice for such amount, provided the invoice cannot be issued prior to the SA Effective Date;</w:t>
      </w:r>
    </w:p>
    <w:p>
      <w:pPr>
        <w:sectPr>
          <w:pgSz w:w="11900" w:h="16838" w:orient="portrait"/>
          <w:cols w:equalWidth="0" w:num="1">
            <w:col w:w="11240"/>
          </w:cols>
          <w:pgMar w:left="320" w:top="1440" w:right="339" w:bottom="1440" w:gutter="0" w:footer="0" w:header="0"/>
        </w:sectPr>
      </w:pPr>
    </w:p>
    <w:bookmarkStart w:id="48" w:name="page49"/>
    <w:bookmarkEnd w:id="48"/>
    <w:p>
      <w:pPr>
        <w:jc w:val="both"/>
        <w:ind w:left="1960" w:hanging="332"/>
        <w:spacing w:after="0" w:line="233" w:lineRule="auto"/>
        <w:tabs>
          <w:tab w:leader="none" w:pos="1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Twenty-five Million United States Dollars ($25,000,000) in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following the calendar quarter in which the European Medicines Agency (the “EMA”) decides on the pending CVOT Application; provided, however, that DSE covenants it will not withdraw the pending CVOT Applications without simultaneously submitting replacement CVOT Applications that DSE will allow to remain pending for decision by EMA, where “CVOT Applications” mean the applications filed with the EMA for a Type II(a) variation for the oral non-statin products marketed as Nilemdo</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color w:val="auto"/>
        </w:rPr>
        <w:t xml:space="preserve"> and Nustendi</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color w:val="auto"/>
        </w:rPr>
        <w:t xml:space="preserve"> in Europe seeking the EMA’s approval of such products to reduce cardiovascular risk in patients with or at high risk for atherosclerotic cardiovascular disease.</w:t>
      </w:r>
    </w:p>
    <w:p>
      <w:pPr>
        <w:spacing w:after="0" w:line="209" w:lineRule="exact"/>
        <w:rPr>
          <w:sz w:val="20"/>
          <w:szCs w:val="20"/>
          <w:color w:val="auto"/>
        </w:rPr>
      </w:pPr>
    </w:p>
    <w:p>
      <w:pPr>
        <w:ind w:firstLine="755"/>
        <w:spacing w:after="0" w:line="258" w:lineRule="auto"/>
        <w:rPr>
          <w:sz w:val="20"/>
          <w:szCs w:val="20"/>
          <w:color w:val="auto"/>
        </w:rPr>
      </w:pPr>
      <w:r>
        <w:rPr>
          <w:rFonts w:ascii="Times New Roman" w:cs="Times New Roman" w:eastAsia="Times New Roman" w:hAnsi="Times New Roman"/>
          <w:sz w:val="22"/>
          <w:szCs w:val="22"/>
          <w:color w:val="auto"/>
        </w:rPr>
        <w:t>Payments to Esperion shall be made by wire transfers to the account specified below. Esperion represents and warrants that the wiring information set forth below is true and accurate.</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 xml:space="preserve">Receiving Bank: </w:t>
      </w:r>
      <w:r>
        <w:rPr>
          <w:rFonts w:ascii="Times New Roman" w:cs="Times New Roman" w:eastAsia="Times New Roman" w:hAnsi="Times New Roman"/>
          <w:sz w:val="17"/>
          <w:szCs w:val="17"/>
          <w:color w:val="auto"/>
        </w:rPr>
        <w:t>[***]</w:t>
      </w:r>
    </w:p>
    <w:p>
      <w:pPr>
        <w:ind w:left="1620"/>
        <w:spacing w:after="0" w:line="235" w:lineRule="auto"/>
        <w:rPr>
          <w:sz w:val="20"/>
          <w:szCs w:val="20"/>
          <w:color w:val="auto"/>
        </w:rPr>
      </w:pPr>
      <w:r>
        <w:rPr>
          <w:rFonts w:ascii="Times New Roman" w:cs="Times New Roman" w:eastAsia="Times New Roman" w:hAnsi="Times New Roman"/>
          <w:sz w:val="22"/>
          <w:szCs w:val="22"/>
          <w:color w:val="auto"/>
        </w:rPr>
        <w:t xml:space="preserve">Receiving Bank Address: </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ind w:left="1620"/>
        <w:spacing w:after="0" w:line="234" w:lineRule="auto"/>
        <w:rPr>
          <w:sz w:val="20"/>
          <w:szCs w:val="20"/>
          <w:color w:val="auto"/>
        </w:rPr>
      </w:pPr>
      <w:r>
        <w:rPr>
          <w:rFonts w:ascii="Times New Roman" w:cs="Times New Roman" w:eastAsia="Times New Roman" w:hAnsi="Times New Roman"/>
          <w:sz w:val="22"/>
          <w:szCs w:val="22"/>
          <w:color w:val="auto"/>
        </w:rPr>
        <w:t xml:space="preserve">PNC Bank ABA (for wires): </w:t>
      </w:r>
      <w:r>
        <w:rPr>
          <w:rFonts w:ascii="Times New Roman" w:cs="Times New Roman" w:eastAsia="Times New Roman" w:hAnsi="Times New Roman"/>
          <w:sz w:val="17"/>
          <w:szCs w:val="17"/>
          <w:color w:val="auto"/>
        </w:rPr>
        <w:t>[***]</w:t>
      </w:r>
    </w:p>
    <w:p>
      <w:pPr>
        <w:ind w:left="1620"/>
        <w:spacing w:after="0" w:line="230" w:lineRule="auto"/>
        <w:rPr>
          <w:sz w:val="20"/>
          <w:szCs w:val="20"/>
          <w:color w:val="auto"/>
        </w:rPr>
      </w:pPr>
      <w:r>
        <w:rPr>
          <w:rFonts w:ascii="Times New Roman" w:cs="Times New Roman" w:eastAsia="Times New Roman" w:hAnsi="Times New Roman"/>
          <w:sz w:val="22"/>
          <w:szCs w:val="22"/>
          <w:color w:val="auto"/>
        </w:rPr>
        <w:t xml:space="preserve">Beneficiary: </w:t>
      </w:r>
      <w:r>
        <w:rPr>
          <w:rFonts w:ascii="Times New Roman" w:cs="Times New Roman" w:eastAsia="Times New Roman" w:hAnsi="Times New Roman"/>
          <w:sz w:val="17"/>
          <w:szCs w:val="17"/>
          <w:color w:val="auto"/>
        </w:rPr>
        <w:t>[***]</w:t>
      </w:r>
    </w:p>
    <w:p>
      <w:pPr>
        <w:ind w:left="1620"/>
        <w:spacing w:after="0" w:line="231" w:lineRule="auto"/>
        <w:rPr>
          <w:sz w:val="20"/>
          <w:szCs w:val="20"/>
          <w:color w:val="auto"/>
        </w:rPr>
      </w:pPr>
      <w:r>
        <w:rPr>
          <w:rFonts w:ascii="Times New Roman" w:cs="Times New Roman" w:eastAsia="Times New Roman" w:hAnsi="Times New Roman"/>
          <w:sz w:val="22"/>
          <w:szCs w:val="22"/>
          <w:color w:val="auto"/>
        </w:rPr>
        <w:t xml:space="preserve">Beneficiary Account No: </w:t>
      </w:r>
      <w:r>
        <w:rPr>
          <w:rFonts w:ascii="Times New Roman" w:cs="Times New Roman" w:eastAsia="Times New Roman" w:hAnsi="Times New Roman"/>
          <w:sz w:val="17"/>
          <w:szCs w:val="17"/>
          <w:color w:val="auto"/>
        </w:rPr>
        <w:t>[***]</w:t>
      </w:r>
    </w:p>
    <w:p>
      <w:pPr>
        <w:ind w:left="1620"/>
        <w:spacing w:after="0" w:line="230" w:lineRule="auto"/>
        <w:rPr>
          <w:sz w:val="20"/>
          <w:szCs w:val="20"/>
          <w:color w:val="auto"/>
        </w:rPr>
      </w:pPr>
      <w:r>
        <w:rPr>
          <w:rFonts w:ascii="Times New Roman" w:cs="Times New Roman" w:eastAsia="Times New Roman" w:hAnsi="Times New Roman"/>
          <w:sz w:val="22"/>
          <w:szCs w:val="22"/>
          <w:color w:val="auto"/>
        </w:rPr>
        <w:t xml:space="preserve">Bank Country Code: </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 xml:space="preserve">Swift Code: </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Nilemdo</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rPr>
        <w:t xml:space="preserve"> and Nustendi</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rPr>
        <w:t xml:space="preserve"> EMA Label Strategy. </w:t>
      </w:r>
      <w:r>
        <w:rPr>
          <w:rFonts w:ascii="Times New Roman" w:cs="Times New Roman" w:eastAsia="Times New Roman" w:hAnsi="Times New Roman"/>
          <w:sz w:val="20"/>
          <w:szCs w:val="20"/>
          <w:color w:val="auto"/>
        </w:rPr>
        <w:t>As of the SA Effective Date, DSE shall have sole authority and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discussions with the EMA, and any country-specific regulatory authority in the DSE Territory, regarding the pending marketing authorization applications for Nilemdo</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color w:val="auto"/>
        </w:rPr>
        <w:t xml:space="preserve"> and Nustendi</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color w:val="auto"/>
        </w:rPr>
        <w:t>. Esperion agrees to provide DSE any necessary support or information (in Esperion’s possession and control) to allow DSE to communicate effectively with EMA regarding such pending applications, including without limitation any such information relating to the CLEAR Outcome Study.</w:t>
      </w:r>
    </w:p>
    <w:p>
      <w:pPr>
        <w:spacing w:after="0" w:line="173" w:lineRule="exact"/>
        <w:rPr>
          <w:rFonts w:ascii="Times New Roman" w:cs="Times New Roman" w:eastAsia="Times New Roman" w:hAnsi="Times New Roman"/>
          <w:sz w:val="20"/>
          <w:szCs w:val="20"/>
          <w:color w:val="auto"/>
        </w:rPr>
      </w:pPr>
    </w:p>
    <w:p>
      <w:pPr>
        <w:jc w:val="both"/>
        <w:ind w:left="660" w:hanging="328"/>
        <w:spacing w:after="0" w:line="234"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Dismissal of Litigation. </w:t>
      </w:r>
      <w:r>
        <w:rPr>
          <w:rFonts w:ascii="Times New Roman" w:cs="Times New Roman" w:eastAsia="Times New Roman" w:hAnsi="Times New Roman"/>
          <w:sz w:val="22"/>
          <w:szCs w:val="22"/>
          <w:color w:val="auto"/>
        </w:rPr>
        <w:t>In consideration of the good and valuable consideration provided by this Settlement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Esperion agrees to dismiss, with prejudice and without any award of fees, costs, or expenses of any kind in favor of any Party, the Litigation against DSE. To effect such dismissal, the Parties agree to file a joint stipulation and proposed order of dismissal of the Litigation with prejudice pursuant to Federal Rule of Civil Procedure 41. On or before January 2, 2024, the Parties shall jointly notify the Honorable Edgardo Ramos (the judge presiding over the Litigation), or any successor judge should the case be transferred, of the Parties’ settlement, and request that any pending motions, discovery, or other deadlines be held in abeyance pending the Court’s order dismissing the Litigation.</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Mutual Release of Claims. </w:t>
      </w:r>
      <w:r>
        <w:rPr>
          <w:rFonts w:ascii="Times New Roman" w:cs="Times New Roman" w:eastAsia="Times New Roman" w:hAnsi="Times New Roman"/>
          <w:sz w:val="22"/>
          <w:szCs w:val="22"/>
          <w:color w:val="auto"/>
        </w:rPr>
        <w:t>Each Party acknowledges that this Settlement Agreement fully and finally resolves all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contentions, and allegations it has or may have, from the beginning of time to the SA Effective Date, arising out of or in any way relating to the EU License Agreement, the ASCA License Agreement, the Supply Agreements, and the</w:t>
      </w:r>
    </w:p>
    <w:p>
      <w:pPr>
        <w:sectPr>
          <w:pgSz w:w="11900" w:h="16838" w:orient="portrait"/>
          <w:cols w:equalWidth="0" w:num="1">
            <w:col w:w="11240"/>
          </w:cols>
          <w:pgMar w:left="320" w:top="1408" w:right="339" w:bottom="1440" w:gutter="0" w:footer="0" w:header="0"/>
        </w:sectPr>
      </w:pPr>
    </w:p>
    <w:bookmarkStart w:id="49" w:name="page50"/>
    <w:bookmarkEnd w:id="49"/>
    <w:p>
      <w:pPr>
        <w:jc w:val="both"/>
        <w:ind w:left="660"/>
        <w:spacing w:after="0" w:line="231" w:lineRule="auto"/>
        <w:rPr>
          <w:sz w:val="20"/>
          <w:szCs w:val="20"/>
          <w:color w:val="auto"/>
        </w:rPr>
      </w:pPr>
      <w:r>
        <w:rPr>
          <w:rFonts w:ascii="Times New Roman" w:cs="Times New Roman" w:eastAsia="Times New Roman" w:hAnsi="Times New Roman"/>
          <w:sz w:val="22"/>
          <w:szCs w:val="22"/>
          <w:color w:val="auto"/>
        </w:rPr>
        <w:t xml:space="preserve">Litigation. In consideration of this Settlement Agreement and other valuable consideration, the receipt and adequacy of which are hereby acknowledged, and effective upon the SA Effective Date, each Party, on behalf of itself and each of its respective assigns, affiliates, predecessors, successors, agents, employees, attorneys, and anyone who claims or may claim by and/or through any of the foregoing and/or in their stead (collectively, the “Releasors”), does hereby release and forever discharge the other Party and each of its current and former parents, subsidiaries, related entities, affiliates, predecessors, successors, heirs, executors, administrators, assigns, owners, officers, principals, employees, shareholders, directors, managers, partners, investors, attorneys, insurers, accountants, legal representatives, and agents (collectively, the “Released Parties”), of and from any and all manner of action or actions, causes of action in law or in equity, suits, debts, liens, contracts, agreements, promises, liabilities, claims, demands, damages, attorneys’ fees, losses, costs or expenses, of any nature whatsoever, known or unknown, foreseen or unforeseen, disclosed or undisclosed, fixed or contingent, accrued or unaccrued, liquidated or unliquidated, potential or actual, from the beginning of time to the SA Effective Date, arising out of or relating in any way to the EU License Agreement, the Regulatory Milestone Payment, the ASCA License Agreement, the Supply Agreements, and the Litigation , including without limitation any market response or investor reaction to public disclosures related to the Litigation, the Regulatory Milestone Payment, the Parties’ respective positions as to whether Esperion satisfied the requirements of the Regulatory Milestone Payment, and any of the Parties’ conduct alleged or discussed therein (collectively, the </w:t>
      </w:r>
      <w:r>
        <w:rPr>
          <w:rFonts w:ascii="Times New Roman" w:cs="Times New Roman" w:eastAsia="Times New Roman" w:hAnsi="Times New Roman"/>
          <w:sz w:val="22"/>
          <w:szCs w:val="22"/>
          <w:b w:val="1"/>
          <w:bCs w:val="1"/>
          <w:color w:val="auto"/>
        </w:rPr>
        <w:t>Released 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the Released Claims shall not include, and the Releasors shall not hereby be deemed to have released the Released Parties in respect of, any claims or rights that are based upon an alleged breach or non-performance of this Settlement Agreement or that seek to effectuate the terms of this Settlement Agreement.</w:t>
      </w:r>
    </w:p>
    <w:p>
      <w:pPr>
        <w:spacing w:after="0" w:line="20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Without limiting the generality of the foregoing, the Parties also agree that the Cash Payments identified in Section 3 of this Settlement Agreement are in full satisfaction of any claim by Esperion to any Regulatory Milestone Payment under the EU License Agreement and shall forever extinguish any such claim, irrespective of the EMA’s decision on the proposed label in the CVOT Application(s). Through this Settlement Agreement, Esperion is forgoing, waiving and/or releasing any and all claims to the Regulatory Milestone Payment in the EU License Agreement. Upon execution of this Settlement Agreement, Section 9.2 of the EU License Agreement is hereby deleted in its entirety.</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For the purpose of implementing a full and complete release and discharge of all Released Claims, the Releasors expressly acknowledge that this Settlement Agreement and its releases are intended to include in their effect all of the claims against the Released Parties, whether or not the Releasors know or suspect such to exist at the time of execution of this Settlement Agreement, and that this Settlement Agreement contemplates the extinguishment of all such claims.</w:t>
      </w:r>
    </w:p>
    <w:p>
      <w:pPr>
        <w:spacing w:after="0" w:line="20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Without limiting the generality of the foregoing, the Releasors acknowledge, understand, and agree that they have waived and relinquished all rights under California Civil Code Section 1542 (and any similar provision of law of any other jurisdiction), which provides:</w:t>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756"/>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connection with such waiver and relinquishment, the Releasors expressly acknowledge that they are aware that they may hereafter discover facts in addition to or different from those which they now know or believe to be true with respect to the subject matter of this Settlement Agreement, but it is their intention to fully, finally, and forever settle and release all released matters, claims, disputes, and differences comprising the Released Claims, known or unknown, suspected or unsuspected, which now exist or heretofore existed and that, in furtherance of such intention, this Settlement Agreement shall be and remain in effect as a full and complete general release, notwithstanding the discovery or existence of any such additional or different matters, disputes, complaints, claims, disagreements, or facts.</w:t>
      </w:r>
    </w:p>
    <w:p>
      <w:pPr>
        <w:spacing w:after="0" w:line="200" w:lineRule="exact"/>
        <w:rPr>
          <w:sz w:val="20"/>
          <w:szCs w:val="20"/>
          <w:color w:val="auto"/>
        </w:rPr>
      </w:pPr>
    </w:p>
    <w:p>
      <w:pPr>
        <w:jc w:val="both"/>
        <w:ind w:left="660" w:hanging="328"/>
        <w:spacing w:after="0" w:line="24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Not to Sue</w:t>
      </w:r>
      <w:r>
        <w:rPr>
          <w:rFonts w:ascii="Times New Roman" w:cs="Times New Roman" w:eastAsia="Times New Roman" w:hAnsi="Times New Roman"/>
          <w:sz w:val="22"/>
          <w:szCs w:val="22"/>
          <w:color w:val="auto"/>
        </w:rPr>
        <w:t>. In furtherance of the foregoing mutual releases, each Party hereby covenants to the other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never to file or prosecute, or permit the filing or prosecution of, a new lawsuit, complaint, or charge against such other Party based on the Released Claims, including any claim to any Regulatory Milestone Payment under the EU License Agreement, except to enforce the Settlement Agreement.</w:t>
      </w:r>
    </w:p>
    <w:p>
      <w:pPr>
        <w:spacing w:after="0" w:line="198" w:lineRule="exact"/>
        <w:rPr>
          <w:rFonts w:ascii="Times New Roman" w:cs="Times New Roman" w:eastAsia="Times New Roman" w:hAnsi="Times New Roman"/>
          <w:sz w:val="22"/>
          <w:szCs w:val="22"/>
          <w:color w:val="auto"/>
        </w:rPr>
      </w:pPr>
    </w:p>
    <w:p>
      <w:pPr>
        <w:jc w:val="both"/>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Reimbursement of Costs, Attorneys’ Fees, or Expenses. </w:t>
      </w:r>
      <w:r>
        <w:rPr>
          <w:rFonts w:ascii="Times New Roman" w:cs="Times New Roman" w:eastAsia="Times New Roman" w:hAnsi="Times New Roman"/>
          <w:sz w:val="22"/>
          <w:szCs w:val="22"/>
          <w:color w:val="auto"/>
        </w:rPr>
        <w:t>Each Party shall bear its own costs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Litigation and this Settlement Agreement. The Parties hereby waive and release any and all claims arising out of this Settlement Agreement for attorneys’ fees and costs.</w:t>
      </w:r>
    </w:p>
    <w:p>
      <w:pPr>
        <w:spacing w:after="0" w:line="199"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Confidential Treatment of Settlement Agreement. </w:t>
      </w:r>
      <w:r>
        <w:rPr>
          <w:rFonts w:ascii="Times New Roman" w:cs="Times New Roman" w:eastAsia="Times New Roman" w:hAnsi="Times New Roman"/>
          <w:sz w:val="22"/>
          <w:szCs w:val="22"/>
          <w:color w:val="auto"/>
        </w:rPr>
        <w:t>Apart from the Parties’ agreed joint announcement of the resolution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Litigation, each Party shall keep strictly confidential the terms of this Settlement as well as the substance and details of the Parties’ dispute. Notwithstanding the foregoing sentence, each Party may disclose the terms of this Settlement Agreement: (a) to such Party’s attorneys, agents, accountants, tax consultants, or other advisors; (b) when reasonably related to the enforcement of this Settlement Agreement; and (c) as required by law.</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33"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Each Party represents and agrees that it will not: (a) disparage or cause any other person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disparage the other Party or any of the other Party’s products or services; (b) take any action that is intended or could reasonably be expected to harm either the other Party or its reputation or that would reasonably be expected to lead to unwanted or unfavorable publicity for the other Party; (c) make any statements that claim or assert that one Party prevailed in the Litigation and/or the other Party did not; and (d) make any statements as to alleged strength(s) or weakness(es) of either Party’s position in the Litigation. Each Party further represents and agrees that, in the event it is notified by the other Party that any individual or entity affiliated with the notified Party has disparaged or is disparaging the other Party, or otherwise making statements in violation of subsections (a) through (d) above, then the notified Party will take reasonable steps to instruct or direct such affiliated individual or entity to refrain from any such disparagement or statements, and will promptly notify the other Party that it has taken</w:t>
      </w:r>
    </w:p>
    <w:p>
      <w:pPr>
        <w:sectPr>
          <w:pgSz w:w="11900" w:h="16838" w:orient="portrait"/>
          <w:cols w:equalWidth="0" w:num="1">
            <w:col w:w="11240"/>
          </w:cols>
          <w:pgMar w:left="320" w:top="1404" w:right="339" w:bottom="1440" w:gutter="0" w:footer="0" w:header="0"/>
        </w:sectPr>
      </w:pPr>
    </w:p>
    <w:bookmarkStart w:id="51" w:name="page52"/>
    <w:bookmarkEnd w:id="51"/>
    <w:p>
      <w:pPr>
        <w:ind w:left="328" w:right="20"/>
        <w:spacing w:after="0" w:line="258" w:lineRule="auto"/>
        <w:rPr>
          <w:sz w:val="20"/>
          <w:szCs w:val="20"/>
          <w:color w:val="auto"/>
        </w:rPr>
      </w:pPr>
      <w:r>
        <w:rPr>
          <w:rFonts w:ascii="Times New Roman" w:cs="Times New Roman" w:eastAsia="Times New Roman" w:hAnsi="Times New Roman"/>
          <w:sz w:val="22"/>
          <w:szCs w:val="22"/>
          <w:color w:val="auto"/>
        </w:rPr>
        <w:t>such steps. Notwithstanding the foregoing, nothing in this Section 10 shall prohibit either of the Parties from providing truthful information in response to a valid subpoena or other legal process or as otherwise required by law.</w:t>
      </w:r>
    </w:p>
    <w:p>
      <w:pPr>
        <w:spacing w:after="0" w:line="181" w:lineRule="exact"/>
        <w:rPr>
          <w:sz w:val="20"/>
          <w:szCs w:val="20"/>
          <w:color w:val="auto"/>
        </w:rPr>
      </w:pPr>
    </w:p>
    <w:p>
      <w:pPr>
        <w:ind w:left="328" w:hanging="328"/>
        <w:spacing w:after="0" w:line="262" w:lineRule="auto"/>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Joint Press Release</w:t>
      </w:r>
      <w:r>
        <w:rPr>
          <w:rFonts w:ascii="Times New Roman" w:cs="Times New Roman" w:eastAsia="Times New Roman" w:hAnsi="Times New Roman"/>
          <w:sz w:val="22"/>
          <w:szCs w:val="22"/>
          <w:color w:val="auto"/>
        </w:rPr>
        <w:t>. The Parties agree to issue the joint press release attached hereto as Exhibit D on or before January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w:t>
      </w:r>
    </w:p>
    <w:p>
      <w:pPr>
        <w:spacing w:after="0" w:line="176"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Governing Law; Waiver of Jury Rights. </w:t>
      </w:r>
      <w:r>
        <w:rPr>
          <w:rFonts w:ascii="Times New Roman" w:cs="Times New Roman" w:eastAsia="Times New Roman" w:hAnsi="Times New Roman"/>
          <w:sz w:val="21"/>
          <w:szCs w:val="21"/>
          <w:color w:val="auto"/>
        </w:rPr>
        <w:t>This Settlement Agreement shall be construed, and all disputes arising out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relating to this Settlement Agreement shall be resolved, according to the laws of New York, without regard to any choice of law provisions thereof. The Parties hereby waive their rights to a jury trial for any disputes arising out of this Settlement. Each Party by its execution hereof,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Each undersigned counsel warrants that it is authorized to sign on behalf of its respective client(s), as indicated, and to bind them to the terms and conditions of this Settlement Agreement. This Settlement Agreement may be executed by facsimile or scanned pages and in one or more counterparts, and the counterparts when executed may be made into a composite which shall constitute one integrated original agreement.</w:t>
      </w:r>
    </w:p>
    <w:p>
      <w:pPr>
        <w:spacing w:after="0" w:line="197" w:lineRule="exact"/>
        <w:rPr>
          <w:rFonts w:ascii="Times New Roman" w:cs="Times New Roman" w:eastAsia="Times New Roman" w:hAnsi="Times New Roman"/>
          <w:sz w:val="21"/>
          <w:szCs w:val="21"/>
          <w:color w:val="auto"/>
        </w:rPr>
      </w:pPr>
    </w:p>
    <w:p>
      <w:pPr>
        <w:jc w:val="both"/>
        <w:ind w:left="328" w:hanging="328"/>
        <w:spacing w:after="0" w:line="246"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Further Assurances. </w:t>
      </w:r>
      <w:r>
        <w:rPr>
          <w:rFonts w:ascii="Times New Roman" w:cs="Times New Roman" w:eastAsia="Times New Roman" w:hAnsi="Times New Roman"/>
          <w:sz w:val="22"/>
          <w:szCs w:val="22"/>
          <w:color w:val="auto"/>
        </w:rPr>
        <w:t>The Parties shall execute such additional instruments and take any and all such further actions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reasonably required or necessary to carry out the provisions of this Settlement Agreement and the transactions contemplated hereby.</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Successors in Interest. </w:t>
      </w:r>
      <w:r>
        <w:rPr>
          <w:rFonts w:ascii="Times New Roman" w:cs="Times New Roman" w:eastAsia="Times New Roman" w:hAnsi="Times New Roman"/>
          <w:sz w:val="22"/>
          <w:szCs w:val="22"/>
          <w:color w:val="auto"/>
        </w:rPr>
        <w:t>The Parties agree that this Settlement Agreement shall be binding upon the Parties,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upon their heirs, executors, administrators, dependents, predecessors, successors, subsidiaries, divisions, affiliates, and related entities, and their current officers, directors, partners, employees, attorneys, assigns, agents, representatives, and any or all of them.</w:t>
      </w:r>
    </w:p>
    <w:p>
      <w:pPr>
        <w:spacing w:after="0" w:line="202" w:lineRule="exact"/>
        <w:rPr>
          <w:rFonts w:ascii="Times New Roman" w:cs="Times New Roman" w:eastAsia="Times New Roman" w:hAnsi="Times New Roman"/>
          <w:sz w:val="22"/>
          <w:szCs w:val="22"/>
          <w:color w:val="auto"/>
        </w:rPr>
      </w:pPr>
    </w:p>
    <w:p>
      <w:pPr>
        <w:ind w:left="328" w:hanging="328"/>
        <w:spacing w:after="0" w:line="262"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Admissions. </w:t>
      </w:r>
      <w:r>
        <w:rPr>
          <w:rFonts w:ascii="Times New Roman" w:cs="Times New Roman" w:eastAsia="Times New Roman" w:hAnsi="Times New Roman"/>
          <w:sz w:val="22"/>
          <w:szCs w:val="22"/>
          <w:color w:val="auto"/>
        </w:rPr>
        <w:t>The Parties agree that neither this Settlement Agreement nor any of the terms herein or exhibits 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constitute any admission of liability or wrongdoing by any Party.</w:t>
      </w:r>
    </w:p>
    <w:p>
      <w:pPr>
        <w:spacing w:after="0" w:line="176"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32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Authority to Release Claims; No Assignment of Released Claims. </w:t>
      </w:r>
      <w:r>
        <w:rPr>
          <w:rFonts w:ascii="Times New Roman" w:cs="Times New Roman" w:eastAsia="Times New Roman" w:hAnsi="Times New Roman"/>
          <w:sz w:val="21"/>
          <w:szCs w:val="21"/>
          <w:color w:val="auto"/>
        </w:rPr>
        <w:t>Each Party warrants that it has the power, right,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authority to release fully and completely all claims that it is resolving and releasing in this Settlement Agreement. Each Party warrants and represents that it owns and controls each of the Released Claims, claims, causes of action, or other matters that are released by this Settlement Agreement and that it has not assigned or transferred to any other person any of the Released Claims, claims, causes of action, or other matters that are released by this Settlement Agreement.</w:t>
      </w:r>
    </w:p>
    <w:p>
      <w:pPr>
        <w:spacing w:after="0" w:line="190" w:lineRule="exact"/>
        <w:rPr>
          <w:rFonts w:ascii="Times New Roman" w:cs="Times New Roman" w:eastAsia="Times New Roman" w:hAnsi="Times New Roman"/>
          <w:sz w:val="21"/>
          <w:szCs w:val="21"/>
          <w:color w:val="auto"/>
        </w:rPr>
      </w:pPr>
    </w:p>
    <w:p>
      <w:pPr>
        <w:ind w:left="328" w:hanging="328"/>
        <w:spacing w:after="0" w:line="262"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Counterparts; Electronic Transmission. </w:t>
      </w:r>
      <w:r>
        <w:rPr>
          <w:rFonts w:ascii="Times New Roman" w:cs="Times New Roman" w:eastAsia="Times New Roman" w:hAnsi="Times New Roman"/>
          <w:sz w:val="22"/>
          <w:szCs w:val="22"/>
          <w:color w:val="auto"/>
        </w:rPr>
        <w:t>This Settlement may be executed in counterparts and via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submission. An executed document delivered via fax or electronic means shall be treated as an original.</w:t>
      </w:r>
    </w:p>
    <w:p>
      <w:pPr>
        <w:spacing w:after="0" w:line="163"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Construction; Recitals. </w:t>
      </w:r>
      <w:r>
        <w:rPr>
          <w:rFonts w:ascii="Times New Roman" w:cs="Times New Roman" w:eastAsia="Times New Roman" w:hAnsi="Times New Roman"/>
          <w:sz w:val="22"/>
          <w:szCs w:val="22"/>
          <w:color w:val="auto"/>
        </w:rPr>
        <w:t>The headings of the sections of this Settlement Agreement are for convenience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affect the meaning or interpretation of this Settlement Agreement. It is understood and acknowledged that this Settlement Agreement shall be deemed to have been drafted jointly by the Parties and shall not be</w:t>
      </w:r>
    </w:p>
    <w:p>
      <w:pPr>
        <w:sectPr>
          <w:pgSz w:w="11900" w:h="16838" w:orient="portrait"/>
          <w:cols w:equalWidth="0" w:num="1">
            <w:col w:w="10908"/>
          </w:cols>
          <w:pgMar w:left="652" w:top="1408" w:right="339" w:bottom="1440" w:gutter="0" w:footer="0" w:header="0"/>
        </w:sectPr>
      </w:pPr>
    </w:p>
    <w:bookmarkStart w:id="52" w:name="page53"/>
    <w:bookmarkEnd w:id="52"/>
    <w:p>
      <w:pPr>
        <w:jc w:val="both"/>
        <w:ind w:left="328"/>
        <w:spacing w:after="0" w:line="244" w:lineRule="auto"/>
        <w:rPr>
          <w:sz w:val="20"/>
          <w:szCs w:val="20"/>
          <w:color w:val="auto"/>
        </w:rPr>
      </w:pPr>
      <w:r>
        <w:rPr>
          <w:rFonts w:ascii="Times New Roman" w:cs="Times New Roman" w:eastAsia="Times New Roman" w:hAnsi="Times New Roman"/>
          <w:sz w:val="22"/>
          <w:szCs w:val="22"/>
          <w:color w:val="auto"/>
        </w:rPr>
        <w:t>construed in favor of or against any Party by reason of the extent to which any Party or its counsel has participated in the drafting of this Settlement Agreement. The Recitals set forth at the beginning of this Settlement Agreement are incorporated herein by reference to the same extent and with the same force and effect as if fully set forth herein.</w:t>
      </w:r>
    </w:p>
    <w:p>
      <w:pPr>
        <w:spacing w:after="0" w:line="196" w:lineRule="exact"/>
        <w:rPr>
          <w:sz w:val="20"/>
          <w:szCs w:val="20"/>
          <w:color w:val="auto"/>
        </w:rPr>
      </w:pPr>
    </w:p>
    <w:p>
      <w:pPr>
        <w:jc w:val="both"/>
        <w:ind w:left="328" w:hanging="328"/>
        <w:spacing w:after="0" w:line="233"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Settlement Agreement constitutes the entire agreement between the Parties who have executed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subject of settlement and supersedes any and all other agreements, understandings, negotiations, or discussions, either oral or in writing, express or implied, between the Parties with respect to the subject matter of this Settlement Agreement. The Parties each acknowledge (a) that no representations, inducements, promises, agreements, or warranties, oral or otherwise, with respect to the subject matter of this Settlement Agreement have been made by or to them, or anyone acting on their behalf, which are not embodied in this Settlement Agreement, (b) that they have not executed this Settlement Agreement in reliance on any such representation, inducement, promise, agreement or warranty, and (c) that no representation, inducement, promise, agreement or warranty not contained in this Settlement Agreement, including, but not limited to, any purported supplements, modifications, waivers, or terminations of this Settlement Agreement, shall be valid or binding, unless executed in writing by all of the Parties.</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Modifications. </w:t>
      </w:r>
      <w:r>
        <w:rPr>
          <w:rFonts w:ascii="Times New Roman" w:cs="Times New Roman" w:eastAsia="Times New Roman" w:hAnsi="Times New Roman"/>
          <w:sz w:val="22"/>
          <w:szCs w:val="22"/>
          <w:color w:val="auto"/>
        </w:rPr>
        <w:t>All terms, conditions, and obligations contained in this Settlement Agreement can be waived or modified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by written agreement signed by both Parties. Forbearance or indulgence in any form or manner or course of dealing by a Party shall not be construed as a waiver, nor in any way limit the remedies available.</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If any provision of this Settlement Agreement is held invalid by a court with jurisdiction over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provision shall be deemed to be restated to reflect as nearly as possible the original intentions of the Parties in accordance with applicable law, if and only to the extent possible, and the remainder of this Settlement Agreement shall remain in full force and effect as if the Settlement Agreement had been entered into without the invalid portion.</w:t>
      </w:r>
    </w:p>
    <w:p>
      <w:pPr>
        <w:spacing w:after="0" w:line="202" w:lineRule="exact"/>
        <w:rPr>
          <w:rFonts w:ascii="Times New Roman" w:cs="Times New Roman" w:eastAsia="Times New Roman" w:hAnsi="Times New Roman"/>
          <w:sz w:val="22"/>
          <w:szCs w:val="22"/>
          <w:color w:val="auto"/>
        </w:rPr>
      </w:pPr>
    </w:p>
    <w:p>
      <w:pPr>
        <w:jc w:val="both"/>
        <w:ind w:left="328" w:hanging="328"/>
        <w:spacing w:after="0" w:line="233"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Finality; No Reliance. </w:t>
      </w:r>
      <w:r>
        <w:rPr>
          <w:rFonts w:ascii="Times New Roman" w:cs="Times New Roman" w:eastAsia="Times New Roman" w:hAnsi="Times New Roman"/>
          <w:sz w:val="22"/>
          <w:szCs w:val="22"/>
          <w:color w:val="auto"/>
        </w:rPr>
        <w:t>This Settlement Agreement is intended to be final, enforceable, and binding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is further intended to be effective as a full and final accord and satisfaction between them in respect of the Released Claims and any other cause of action or disputed matter arising from or in connection with the Litigation, the EU License Agreement, the ASCA License Agreement, the Supply Agreements, or the Regulatory Milestone Payment. Each Party relies on the finality of this Settlement Agreement as a material factor inducing that Party’s execution of this Settlement Agreement. Furthermore, each Party fully understands the meaning, effect, significance, and consequence of each and every provision of this Settlement Agreement, and each Party expressly acknowledges and represents that, in executing this Settlement Agreement, it has not relied on any inducements, promises, or representations made by the other Party hereto or any person or entity representing such other Party. Additionally, each Party hereto acknowledges and represents that it is executing this Settlement Agreement freely and voluntarily, after consulting with its respective attorneys, and with the belief that this Settlement Agreement is fully binding and enforceable.</w:t>
      </w:r>
    </w:p>
    <w:p>
      <w:pPr>
        <w:sectPr>
          <w:pgSz w:w="11900" w:h="16838" w:orient="portrait"/>
          <w:cols w:equalWidth="0" w:num="1">
            <w:col w:w="10908"/>
          </w:cols>
          <w:pgMar w:left="652" w:top="1408" w:right="339" w:bottom="1440" w:gutter="0" w:footer="0" w:header="0"/>
        </w:sectPr>
      </w:pPr>
    </w:p>
    <w:bookmarkStart w:id="53" w:name="page54"/>
    <w:bookmarkEnd w:id="53"/>
    <w:p>
      <w:pPr>
        <w:jc w:val="both"/>
        <w:ind w:left="328" w:hanging="328"/>
        <w:spacing w:after="0" w:line="233" w:lineRule="auto"/>
        <w:tabs>
          <w:tab w:leader="none" w:pos="32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Advice of Counsel. </w:t>
      </w:r>
      <w:r>
        <w:rPr>
          <w:rFonts w:ascii="Times New Roman" w:cs="Times New Roman" w:eastAsia="Times New Roman" w:hAnsi="Times New Roman"/>
          <w:sz w:val="22"/>
          <w:szCs w:val="22"/>
          <w:color w:val="auto"/>
        </w:rPr>
        <w:t>Each of the Parties represents that it has: (i) been adequately represented, or had the opportunity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represented, by independent legal counsel of its own choice, throughout all of the negotiations that preceded the execution of this Settlement Agreement; (ii) executed this Settlement Agreement with the consent and upon the competent advice of such counsel, or had the opportunity to seek such consent and advice; (iii) read this Settlement Agreement and understands and assents to all the terms, conditions, and provisions contained in this Settlement Agreement without any reservations; and (iv) had, or had the opportunity to have had, all the terms, conditions, and provisions contained in this Settlement Agreement explained to it by its own counsel, who have answered any and all questions which have been asked of them, or which could have been asked of them, with regard to the meaning of any of the terms, conditions, or provisions of this Settlement Agreement.</w:t>
      </w:r>
    </w:p>
    <w:p>
      <w:pPr>
        <w:spacing w:after="0" w:line="206"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Authority to Sign. </w:t>
      </w:r>
      <w:r>
        <w:rPr>
          <w:rFonts w:ascii="Times New Roman" w:cs="Times New Roman" w:eastAsia="Times New Roman" w:hAnsi="Times New Roman"/>
          <w:sz w:val="22"/>
          <w:szCs w:val="22"/>
          <w:color w:val="auto"/>
        </w:rPr>
        <w:t>The persons executing this Settlement Agreement on behalf of the Parties hereto warrant that (i)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Party is duly organized and existing, (ii) each such person is duly authorized to execute and deliver this Settlement Agreement on behalf of said Party and to bind that Party, including its members, agents and assigns, (iii) by so executing this Settlement Agreement, such Party is formally bound to the provisions of this Settlement Agreement, and (iv) the Party’s entering into this Settlement Agreement does not violate any provision of any other agreement to which said Party is bound.</w:t>
      </w:r>
    </w:p>
    <w:p>
      <w:pPr>
        <w:sectPr>
          <w:pgSz w:w="11900" w:h="16838" w:orient="portrait"/>
          <w:cols w:equalWidth="0" w:num="1">
            <w:col w:w="10908"/>
          </w:cols>
          <w:pgMar w:left="652" w:top="1404" w:right="339" w:bottom="1440" w:gutter="0" w:footer="0" w:header="0"/>
        </w:sectPr>
      </w:pPr>
    </w:p>
    <w:bookmarkStart w:id="54" w:name="page55"/>
    <w:bookmarkEnd w:id="54"/>
    <w:p>
      <w:pPr>
        <w:ind w:firstLine="755"/>
        <w:spacing w:after="0" w:line="258" w:lineRule="auto"/>
        <w:rPr>
          <w:sz w:val="20"/>
          <w:szCs w:val="20"/>
          <w:color w:val="auto"/>
        </w:rPr>
      </w:pPr>
      <w:r>
        <w:rPr>
          <w:rFonts w:ascii="Times New Roman" w:cs="Times New Roman" w:eastAsia="Times New Roman" w:hAnsi="Times New Roman"/>
          <w:sz w:val="22"/>
          <w:szCs w:val="22"/>
          <w:color w:val="auto"/>
        </w:rPr>
        <w:t>THIS SETTLEMENT AGREEMENT has been agreed and executed by the Parties by their authorized representatives below as of the SA Effective Date.</w:t>
      </w: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Esperion Therapeutics, Inc.</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b w:val="1"/>
                <w:bCs w:val="1"/>
                <w:color w:val="auto"/>
                <w:w w:val="97"/>
              </w:rPr>
              <w:t>Daiichi Sankyo Europe GmbH</w:t>
            </w:r>
          </w:p>
        </w:tc>
      </w:tr>
      <w:tr>
        <w:trPr>
          <w:trHeight w:val="434"/>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Authorized Signatory</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By: /s/ Authorized Signatory</w:t>
            </w:r>
          </w:p>
        </w:tc>
      </w:tr>
      <w:tr>
        <w:trPr>
          <w:trHeight w:val="20"/>
        </w:trPr>
        <w:tc>
          <w:tcPr>
            <w:tcW w:w="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4"/>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(Printed): [***]</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Name (Printed): [***]</w:t>
            </w:r>
          </w:p>
        </w:tc>
      </w:tr>
      <w:tr>
        <w:trPr>
          <w:trHeight w:val="432"/>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Title: [***]</w:t>
            </w:r>
          </w:p>
        </w:tc>
      </w:tr>
      <w:tr>
        <w:trPr>
          <w:trHeight w:val="891"/>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(Printed): [***]</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Name (Printed): [***]</w:t>
            </w:r>
          </w:p>
        </w:tc>
      </w:tr>
      <w:tr>
        <w:trPr>
          <w:trHeight w:val="540"/>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w:t>
            </w: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Title: [***]</w:t>
            </w:r>
          </w:p>
        </w:tc>
      </w:tr>
      <w:tr>
        <w:trPr>
          <w:trHeight w:val="866"/>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By: /s/ Authorized Signatory</w:t>
            </w:r>
          </w:p>
        </w:tc>
      </w:tr>
      <w:tr>
        <w:trPr>
          <w:trHeight w:val="20"/>
        </w:trPr>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4"/>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Name (Printed): [***]</w:t>
            </w:r>
          </w:p>
        </w:tc>
      </w:tr>
      <w:tr>
        <w:trPr>
          <w:trHeight w:val="432"/>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Title: [***]</w:t>
            </w:r>
          </w:p>
        </w:tc>
      </w:tr>
      <w:tr>
        <w:trPr>
          <w:trHeight w:val="891"/>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Name (Printed): [***]</w:t>
            </w:r>
          </w:p>
        </w:tc>
      </w:tr>
      <w:tr>
        <w:trPr>
          <w:trHeight w:val="540"/>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Title: [***]</w:t>
            </w:r>
          </w:p>
        </w:tc>
      </w:tr>
    </w:tbl>
    <w:p>
      <w:pPr>
        <w:sectPr>
          <w:pgSz w:w="11900" w:h="16838" w:orient="portrait"/>
          <w:cols w:equalWidth="0" w:num="1">
            <w:col w:w="10960"/>
          </w:cols>
          <w:pgMar w:left="320" w:top="1408" w:right="619" w:bottom="1440" w:gutter="0" w:footer="0" w:header="0"/>
        </w:sectPr>
      </w:pPr>
    </w:p>
    <w:bookmarkStart w:id="55" w:name="page56"/>
    <w:bookmarkEnd w:id="55"/>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Technology Transfer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04" w:right="1440" w:bottom="1440" w:gutter="0" w:footer="0" w:header="0"/>
        </w:sectPr>
      </w:pPr>
    </w:p>
    <w:bookmarkStart w:id="56" w:name="page57"/>
    <w:bookmarkEnd w:id="56"/>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Third Amendment to EU License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04" w:right="1440" w:bottom="1440" w:gutter="0" w:footer="0" w:header="0"/>
        </w:sectPr>
      </w:pPr>
    </w:p>
    <w:bookmarkStart w:id="57" w:name="page58"/>
    <w:bookmarkEnd w:id="57"/>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First Amendment to ASCA License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04" w:right="1440" w:bottom="1440" w:gutter="0" w:footer="0" w:header="0"/>
        </w:sectPr>
      </w:pPr>
    </w:p>
    <w:bookmarkStart w:id="58" w:name="page59"/>
    <w:bookmarkEnd w:id="58"/>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Joint Press Release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Attached.</w:t>
      </w:r>
    </w:p>
    <w:p>
      <w:pPr>
        <w:sectPr>
          <w:pgSz w:w="11900" w:h="16838" w:orient="portrait"/>
          <w:cols w:equalWidth="0" w:num="1">
            <w:col w:w="10139"/>
          </w:cols>
          <w:pgMar w:left="320" w:top="1404"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9"/>
          <w:szCs w:val="19"/>
          <w:b w:val="1"/>
          <w:bCs w:val="1"/>
          <w:color w:val="auto"/>
        </w:rPr>
        <w:t>CERTAIN CONFIDENTIAL INFORMATION, MARKED BY [***] HAS BEEN EXCLUDED FROM THIS EXHIBIT BECAUSE IT IS BOTH NOT MATERIAL AND IS THE TYPE THAT THE REGISTRANT TREATS AS PRIVATE OR CONFIDENTIAL.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20"/>
          <w:szCs w:val="20"/>
          <w:b w:val="1"/>
          <w:bCs w:val="1"/>
          <w:color w:val="auto"/>
        </w:rPr>
        <w:t xml:space="preserve"> AMENDMENT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 AND COLLABORATION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DAIICHI SANKYO EUROPE GMBH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ESPERION THERAPEUTICS,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January 2, 2024</w:t>
      </w:r>
    </w:p>
    <w:p>
      <w:pPr>
        <w:spacing w:after="0" w:line="22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color w:val="auto"/>
        </w:rPr>
        <w:t xml:space="preserve"> AMENDMENT to the LICENSE AND COLLABORATION AGREEMENT (this “</w:t>
      </w:r>
      <w:r>
        <w:rPr>
          <w:rFonts w:ascii="Times New Roman" w:cs="Times New Roman" w:eastAsia="Times New Roman" w:hAnsi="Times New Roman"/>
          <w:sz w:val="21"/>
          <w:szCs w:val="21"/>
          <w:u w:val="single" w:color="auto"/>
          <w:color w:val="auto"/>
        </w:rPr>
        <w:t>3rd Amendment</w:t>
      </w:r>
      <w:r>
        <w:rPr>
          <w:rFonts w:ascii="Times New Roman" w:cs="Times New Roman" w:eastAsia="Times New Roman" w:hAnsi="Times New Roman"/>
          <w:sz w:val="20"/>
          <w:szCs w:val="20"/>
          <w:color w:val="auto"/>
        </w:rPr>
        <w:t>”), entered into as of January 2, 2024 (the “</w:t>
      </w:r>
      <w:r>
        <w:rPr>
          <w:rFonts w:ascii="Times New Roman" w:cs="Times New Roman" w:eastAsia="Times New Roman" w:hAnsi="Times New Roman"/>
          <w:sz w:val="21"/>
          <w:szCs w:val="21"/>
          <w:u w:val="single" w:color="auto"/>
          <w:color w:val="auto"/>
        </w:rPr>
        <w:t>3rd Amendment Effective Date</w:t>
      </w:r>
      <w:r>
        <w:rPr>
          <w:rFonts w:ascii="Times New Roman" w:cs="Times New Roman" w:eastAsia="Times New Roman" w:hAnsi="Times New Roman"/>
          <w:sz w:val="20"/>
          <w:szCs w:val="20"/>
          <w:color w:val="auto"/>
        </w:rPr>
        <w:t>”), is entered into by and between Daiichi Sankyo Europe GmbH, a corporation organized and existing under the laws of Germany (“</w:t>
      </w:r>
      <w:r>
        <w:rPr>
          <w:rFonts w:ascii="Times New Roman" w:cs="Times New Roman" w:eastAsia="Times New Roman" w:hAnsi="Times New Roman"/>
          <w:sz w:val="21"/>
          <w:szCs w:val="21"/>
          <w:u w:val="single" w:color="auto"/>
          <w:color w:val="auto"/>
        </w:rPr>
        <w:t>DSE</w:t>
      </w:r>
      <w:r>
        <w:rPr>
          <w:rFonts w:ascii="Times New Roman" w:cs="Times New Roman" w:eastAsia="Times New Roman" w:hAnsi="Times New Roman"/>
          <w:sz w:val="20"/>
          <w:szCs w:val="20"/>
          <w:color w:val="auto"/>
        </w:rPr>
        <w:t>”) and Esperion Therapeutics, Inc., a corporation organized and existing under the laws of the state of Delaware (“</w:t>
      </w:r>
      <w:r>
        <w:rPr>
          <w:rFonts w:ascii="Times New Roman" w:cs="Times New Roman" w:eastAsia="Times New Roman" w:hAnsi="Times New Roman"/>
          <w:sz w:val="21"/>
          <w:szCs w:val="21"/>
          <w:u w:val="single" w:color="auto"/>
          <w:color w:val="auto"/>
        </w:rPr>
        <w:t>Esperion</w:t>
      </w:r>
      <w:r>
        <w:rPr>
          <w:rFonts w:ascii="Times New Roman" w:cs="Times New Roman" w:eastAsia="Times New Roman" w:hAnsi="Times New Roman"/>
          <w:sz w:val="20"/>
          <w:szCs w:val="20"/>
          <w:color w:val="auto"/>
        </w:rPr>
        <w:t>”). DSE and Esperion are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Esperion and DSE are parties to that certain License and Collaboration Agreement, dated and effective as of January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2019, as amended on June 18, 2020 and March 19, 2021 (the “</w:t>
      </w:r>
      <w:r>
        <w:rPr>
          <w:rFonts w:ascii="Times New Roman" w:cs="Times New Roman" w:eastAsia="Times New Roman" w:hAnsi="Times New Roman"/>
          <w:sz w:val="21"/>
          <w:szCs w:val="21"/>
          <w:u w:val="single" w:color="auto"/>
          <w:color w:val="auto"/>
        </w:rPr>
        <w:t>LCA</w:t>
      </w:r>
      <w:r>
        <w:rPr>
          <w:rFonts w:ascii="Times New Roman" w:cs="Times New Roman" w:eastAsia="Times New Roman" w:hAnsi="Times New Roman"/>
          <w:sz w:val="20"/>
          <w:szCs w:val="20"/>
          <w:color w:val="auto"/>
        </w:rPr>
        <w:t>”), and that certain Manufacturing and Supply Agreement by and between DSE and Esperion, dated and effective as of July 30, 2019, as amended on November 20, 2020 (the “</w:t>
      </w:r>
      <w:r>
        <w:rPr>
          <w:rFonts w:ascii="Times New Roman" w:cs="Times New Roman" w:eastAsia="Times New Roman" w:hAnsi="Times New Roman"/>
          <w:sz w:val="21"/>
          <w:szCs w:val="21"/>
          <w:u w:val="single" w:color="auto"/>
          <w:color w:val="auto"/>
        </w:rPr>
        <w:t>DSE Supply Agreement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disputes and litigation arose between DSE and Esperion as to their respective rights and obligations under the LCA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DSE Supply Agreement, which disputes and litigation were fully and finally resolved pursuant to that certain Confidential Settlement Agreement And Release, dated as of January 2, 2024 (“the </w:t>
      </w:r>
      <w:r>
        <w:rPr>
          <w:rFonts w:ascii="Times New Roman" w:cs="Times New Roman" w:eastAsia="Times New Roman" w:hAnsi="Times New Roman"/>
          <w:sz w:val="21"/>
          <w:szCs w:val="21"/>
          <w:u w:val="single" w:color="auto"/>
          <w:color w:val="auto"/>
        </w:rPr>
        <w:t>Settlement Agreement</w:t>
      </w:r>
      <w:r>
        <w:rPr>
          <w:rFonts w:ascii="Times New Roman" w:cs="Times New Roman" w:eastAsia="Times New Roman" w:hAnsi="Times New Roman"/>
          <w:sz w:val="20"/>
          <w:szCs w:val="20"/>
          <w:color w:val="auto"/>
        </w:rPr>
        <w:t>”); and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Section 2 of the Settlement Agreement requires the Parties to amend the LCA as provided herein.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including the payments to be made by DSE to Esperion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Agreement, the receipt and sufficiency of which are hereby acknowledged, the Parties, intending to be legally bound, hereby agree as follows:</w:t>
      </w:r>
    </w:p>
    <w:p>
      <w:pPr>
        <w:spacing w:after="0" w:line="20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Except as defined herein, all capitalized terms used in this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have the meaning set forth in the LCA.</w:t>
      </w:r>
    </w:p>
    <w:p>
      <w:pPr>
        <w:spacing w:after="0" w:line="233" w:lineRule="exact"/>
        <w:rPr>
          <w:rFonts w:ascii="Times New Roman" w:cs="Times New Roman" w:eastAsia="Times New Roman" w:hAnsi="Times New Roman"/>
          <w:sz w:val="22"/>
          <w:szCs w:val="22"/>
          <w:color w:val="auto"/>
        </w:rPr>
      </w:pPr>
    </w:p>
    <w:p>
      <w:pPr>
        <w:ind w:left="980" w:right="5700" w:hanging="648"/>
        <w:spacing w:after="0" w:line="498" w:lineRule="auto"/>
        <w:tabs>
          <w:tab w:leader="none" w:pos="65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LCA Amendments</w:t>
      </w:r>
      <w:r>
        <w:rPr>
          <w:rFonts w:ascii="Times New Roman" w:cs="Times New Roman" w:eastAsia="Times New Roman" w:hAnsi="Times New Roman"/>
          <w:sz w:val="20"/>
          <w:szCs w:val="20"/>
          <w:color w:val="auto"/>
        </w:rPr>
        <w:t>. The LCA is hereby amended as follows: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25" w:right="339" w:bottom="1440" w:gutter="0" w:footer="0" w:header="0"/>
        </w:sectPr>
      </w:pPr>
    </w:p>
    <w:bookmarkStart w:id="60" w:name="page61"/>
    <w:bookmarkEnd w:id="60"/>
    <w:p>
      <w:pPr>
        <w:ind w:left="1960" w:hanging="446"/>
        <w:spacing w:after="0"/>
        <w:tabs>
          <w:tab w:leader="none" w:pos="1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1.32 (DSE Know-How), Section 1.46 (Esperion Territory), Section 1.77 (Licensed Products) and Section</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1.118 (Territory) are hereby deleted in their entirety and replaced with:</w:t>
      </w:r>
    </w:p>
    <w:p>
      <w:pPr>
        <w:spacing w:after="0" w:line="198"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DSE Know-How</w:t>
      </w:r>
      <w:r>
        <w:rPr>
          <w:rFonts w:ascii="Times New Roman" w:cs="Times New Roman" w:eastAsia="Times New Roman" w:hAnsi="Times New Roman"/>
          <w:sz w:val="20"/>
          <w:szCs w:val="20"/>
          <w:color w:val="auto"/>
        </w:rPr>
        <w:t>” means Know-How Controlled by DSE or any of its Affiliates during the Term, that arises out of the performance of obligations or exercise of rights hereunder, and that is necessary or useful to the Development, Manufacture or Commercialization of the Licensed Products, including the TC Products Data but excluding Joint Know-How.</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Esperion Territory</w:t>
      </w:r>
      <w:r>
        <w:rPr>
          <w:rFonts w:ascii="Times New Roman" w:cs="Times New Roman" w:eastAsia="Times New Roman" w:hAnsi="Times New Roman"/>
          <w:sz w:val="20"/>
          <w:szCs w:val="20"/>
          <w:color w:val="auto"/>
        </w:rPr>
        <w:t>” means worldwide excluding the DSE Territory and DS Territory.</w:t>
      </w:r>
    </w:p>
    <w:p>
      <w:pPr>
        <w:spacing w:after="0" w:line="245"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Licensed Products</w:t>
      </w:r>
      <w:r>
        <w:rPr>
          <w:rFonts w:ascii="Times New Roman" w:cs="Times New Roman" w:eastAsia="Times New Roman" w:hAnsi="Times New Roman"/>
          <w:sz w:val="20"/>
          <w:szCs w:val="20"/>
          <w:color w:val="auto"/>
        </w:rPr>
        <w:t>” means (a) any pharmaceutical agent which includes Bempedoic Acid in any formulation, presentation and strength, including but not limited to the Licensed Product described in Schedule 1.77, and (b) any pharmaceutical agent that is a combination of Bempedoic Acid, Ezetimibe and a Statin, as its sole active ingredients, in any formulation, presentation and strength (a “</w:t>
      </w:r>
      <w:r>
        <w:rPr>
          <w:rFonts w:ascii="Times New Roman" w:cs="Times New Roman" w:eastAsia="Times New Roman" w:hAnsi="Times New Roman"/>
          <w:sz w:val="21"/>
          <w:szCs w:val="21"/>
          <w:b w:val="1"/>
          <w:bCs w:val="1"/>
          <w:color w:val="auto"/>
        </w:rPr>
        <w:t>Triple Combination Product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TC Product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0"/>
          <w:szCs w:val="20"/>
          <w:color w:val="auto"/>
        </w:rPr>
        <w:t>” means the Esperion Territory, the DSE Territory and the DS Territory.</w:t>
      </w:r>
    </w:p>
    <w:p>
      <w:pPr>
        <w:spacing w:after="0" w:line="267" w:lineRule="exact"/>
        <w:rPr>
          <w:sz w:val="20"/>
          <w:szCs w:val="20"/>
          <w:color w:val="auto"/>
        </w:rPr>
      </w:pPr>
    </w:p>
    <w:p>
      <w:pPr>
        <w:ind w:left="1960" w:hanging="506"/>
        <w:spacing w:after="0"/>
        <w:tabs>
          <w:tab w:leader="none" w:pos="1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terms are added to Section 1 (Definitions):</w:t>
      </w:r>
    </w:p>
    <w:p>
      <w:pPr>
        <w:spacing w:after="0" w:line="197" w:lineRule="exact"/>
        <w:rPr>
          <w:sz w:val="20"/>
          <w:szCs w:val="20"/>
          <w:color w:val="auto"/>
        </w:rPr>
      </w:pPr>
    </w:p>
    <w:p>
      <w:pPr>
        <w:jc w:val="both"/>
        <w:ind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ASCA License Agreement</w:t>
      </w:r>
      <w:r>
        <w:rPr>
          <w:rFonts w:ascii="Times New Roman" w:cs="Times New Roman" w:eastAsia="Times New Roman" w:hAnsi="Times New Roman"/>
          <w:sz w:val="20"/>
          <w:szCs w:val="20"/>
          <w:color w:val="auto"/>
        </w:rPr>
        <w:t>” means that certain License and Collaboration between Esperion and Daiichi Sankyo Company, Limited, dated and effective as of April 26, 2021, as amended on January 2, 2024.</w:t>
      </w:r>
    </w:p>
    <w:p>
      <w:pPr>
        <w:spacing w:after="0" w:line="165"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0"/>
          <w:szCs w:val="20"/>
          <w:color w:val="auto"/>
        </w:rPr>
        <w:t>” means any day other than (a) Saturday or Sunday, (b) any other day on which national banks in Ann Arbor, Michigan are generally permitted or required to be closed, (c) any other day on which national banks in Munich, Germany are generally permitted or required to be closed, or (d) the nine (9) consecutive days beginning on December 24th and continuing through January 1st to the extent not already covered in (a), (b) or (c).</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 Territory</w:t>
      </w:r>
      <w:r>
        <w:rPr>
          <w:rFonts w:ascii="Times New Roman" w:cs="Times New Roman" w:eastAsia="Times New Roman" w:hAnsi="Times New Roman"/>
          <w:sz w:val="20"/>
          <w:szCs w:val="20"/>
          <w:color w:val="auto"/>
        </w:rPr>
        <w:t>” has the meaning ascribed to such term in the ASCA License Agreement.</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DSE Supply Agreement</w:t>
      </w:r>
      <w:r>
        <w:rPr>
          <w:rFonts w:ascii="Times New Roman" w:cs="Times New Roman" w:eastAsia="Times New Roman" w:hAnsi="Times New Roman"/>
          <w:sz w:val="20"/>
          <w:szCs w:val="20"/>
          <w:color w:val="auto"/>
        </w:rPr>
        <w:t>” has the meaning set forth in Section 5.1 (Licensed Products Other than TC Products).</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Esperion Assistance</w:t>
      </w:r>
      <w:r>
        <w:rPr>
          <w:rFonts w:ascii="Times New Roman" w:cs="Times New Roman" w:eastAsia="Times New Roman" w:hAnsi="Times New Roman"/>
          <w:sz w:val="20"/>
          <w:szCs w:val="20"/>
          <w:color w:val="auto"/>
        </w:rPr>
        <w:t>” has the meaning set forth in Section 2.1.1(b) (TC Products Development).</w:t>
      </w:r>
    </w:p>
    <w:p>
      <w:pPr>
        <w:spacing w:after="0" w:line="245" w:lineRule="exact"/>
        <w:rPr>
          <w:sz w:val="20"/>
          <w:szCs w:val="20"/>
          <w:color w:val="auto"/>
        </w:rPr>
      </w:pPr>
    </w:p>
    <w:p>
      <w:pPr>
        <w:jc w:val="both"/>
        <w:ind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Ezetimibe</w:t>
      </w:r>
      <w:r>
        <w:rPr>
          <w:rFonts w:ascii="Times New Roman" w:cs="Times New Roman" w:eastAsia="Times New Roman" w:hAnsi="Times New Roman"/>
          <w:sz w:val="20"/>
          <w:szCs w:val="20"/>
          <w:color w:val="auto"/>
        </w:rPr>
        <w:t>” means the azetidinone derivative having the chemical formula (1-(4-fluorophenyl)-(3R)-[3-(4-fluorophenyl)-(3S)-hydroxypropyl]-(4S)-(4-hydroxyphenyl)-2-azetidinone).</w:t>
      </w:r>
    </w:p>
    <w:p>
      <w:pPr>
        <w:spacing w:after="0" w:line="152" w:lineRule="exact"/>
        <w:rPr>
          <w:sz w:val="20"/>
          <w:szCs w:val="20"/>
          <w:color w:val="auto"/>
        </w:rPr>
      </w:pPr>
    </w:p>
    <w:p>
      <w:pPr>
        <w:jc w:val="both"/>
        <w:ind w:right="20"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Hourly Cost</w:t>
      </w:r>
      <w:r>
        <w:rPr>
          <w:rFonts w:ascii="Times New Roman" w:cs="Times New Roman" w:eastAsia="Times New Roman" w:hAnsi="Times New Roman"/>
          <w:sz w:val="20"/>
          <w:szCs w:val="20"/>
          <w:color w:val="auto"/>
        </w:rPr>
        <w:t>” means the Hourly Rate multiplied by the number of hours, or portion thereof, actually spent by Esperion’s employees in performing the assistance contemplated under Section 2.1.1(b) (TC Products Development).</w:t>
      </w:r>
    </w:p>
    <w:p>
      <w:pPr>
        <w:sectPr>
          <w:pgSz w:w="11900" w:h="16838" w:orient="portrait"/>
          <w:cols w:equalWidth="0" w:num="1">
            <w:col w:w="11240"/>
          </w:cols>
          <w:pgMar w:left="320" w:top="1425" w:right="339" w:bottom="1440" w:gutter="0" w:footer="0" w:header="0"/>
        </w:sectPr>
      </w:pPr>
    </w:p>
    <w:bookmarkStart w:id="61" w:name="page62"/>
    <w:bookmarkEnd w:id="61"/>
    <w:p>
      <w:pPr>
        <w:jc w:val="both"/>
        <w:ind w:firstLine="1944"/>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Hourly Rate</w:t>
      </w:r>
      <w:r>
        <w:rPr>
          <w:rFonts w:ascii="Times New Roman" w:cs="Times New Roman" w:eastAsia="Times New Roman" w:hAnsi="Times New Roman"/>
          <w:sz w:val="20"/>
          <w:szCs w:val="20"/>
          <w:color w:val="auto"/>
        </w:rPr>
        <w:t xml:space="preserve">” means, for the first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hours of work performed by Esperion employees,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after such first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hours of work, until such time as the Parties agree otherwise,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subject to annual increases beginning on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to reflect percentage increase in the Consumer Price Index for the US City Average, calculated by the Bureau of Labor Statistics during the immediately preceding Calendar Year and similarly calculated year to year increases each subsequent Calendar Year.</w:t>
      </w:r>
    </w:p>
    <w:p>
      <w:pPr>
        <w:spacing w:after="0" w:line="199" w:lineRule="exact"/>
        <w:rPr>
          <w:sz w:val="20"/>
          <w:szCs w:val="20"/>
          <w:color w:val="auto"/>
        </w:rPr>
      </w:pPr>
    </w:p>
    <w:p>
      <w:pPr>
        <w:jc w:val="both"/>
        <w:ind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Launch</w:t>
      </w:r>
      <w:r>
        <w:rPr>
          <w:rFonts w:ascii="Times New Roman" w:cs="Times New Roman" w:eastAsia="Times New Roman" w:hAnsi="Times New Roman"/>
          <w:sz w:val="20"/>
          <w:szCs w:val="20"/>
          <w:color w:val="auto"/>
        </w:rPr>
        <w:t>” means, for a Licensed Product in the DSE Territory, the anticipated date of the First Commercial Sale for such Licensed Product in the DSE Territory as determined by DSE or any of its Related Parties.</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Statin</w:t>
      </w:r>
      <w:r>
        <w:rPr>
          <w:rFonts w:ascii="Times New Roman" w:cs="Times New Roman" w:eastAsia="Times New Roman" w:hAnsi="Times New Roman"/>
          <w:sz w:val="20"/>
          <w:szCs w:val="20"/>
          <w:color w:val="auto"/>
        </w:rPr>
        <w:t>” means an HMG-CoA reductase inhibitor for the reduction of low-density lipoprotein (LDL) cholesterol.</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TC Products Data</w:t>
      </w:r>
      <w:r>
        <w:rPr>
          <w:rFonts w:ascii="Times New Roman" w:cs="Times New Roman" w:eastAsia="Times New Roman" w:hAnsi="Times New Roman"/>
          <w:sz w:val="20"/>
          <w:szCs w:val="20"/>
          <w:color w:val="auto"/>
        </w:rPr>
        <w:t>” has the meaning set forth in Section 12.1.2 (a) (Ownership).</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 has the meaning set forth in Section 2.1.1(a) (TC Products Development).</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Technology Transfer Agreement</w:t>
      </w:r>
      <w:r>
        <w:rPr>
          <w:rFonts w:ascii="Times New Roman" w:cs="Times New Roman" w:eastAsia="Times New Roman" w:hAnsi="Times New Roman"/>
          <w:sz w:val="20"/>
          <w:szCs w:val="20"/>
          <w:color w:val="auto"/>
        </w:rPr>
        <w:t>” has the meaning set forth in Section 5.1 (Licensed Products other than TC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w:t>
      </w:r>
    </w:p>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Triple Combination Product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TC Product</w:t>
      </w:r>
      <w:r>
        <w:rPr>
          <w:rFonts w:ascii="Times New Roman" w:cs="Times New Roman" w:eastAsia="Times New Roman" w:hAnsi="Times New Roman"/>
          <w:sz w:val="20"/>
          <w:szCs w:val="20"/>
          <w:color w:val="auto"/>
        </w:rPr>
        <w:t>” has the meaning set forth in Section 1.77(b) (Licensed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w:t>
      </w:r>
    </w:p>
    <w:p>
      <w:pPr>
        <w:spacing w:after="0" w:line="221"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Development</w:t>
      </w:r>
    </w:p>
    <w:p>
      <w:pPr>
        <w:spacing w:after="0" w:line="233" w:lineRule="exact"/>
        <w:rPr>
          <w:rFonts w:ascii="Times New Roman" w:cs="Times New Roman" w:eastAsia="Times New Roman" w:hAnsi="Times New Roman"/>
          <w:sz w:val="22"/>
          <w:szCs w:val="22"/>
          <w:color w:val="auto"/>
        </w:rPr>
      </w:pPr>
    </w:p>
    <w:p>
      <w:pPr>
        <w:ind w:left="1960" w:hanging="446"/>
        <w:spacing w:after="0" w:line="245" w:lineRule="auto"/>
        <w:tabs>
          <w:tab w:leader="none" w:pos="19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hereby added as a new Section 2.1.1 and current Sections 2.1.1 (Overview; Esperion Global Development Plan), 2.1.2 (Diligence; Compliance) and 2.1.3 (Performance) are renumbered as necessary:</w:t>
      </w:r>
    </w:p>
    <w:p>
      <w:pPr>
        <w:spacing w:after="0" w:line="200"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w:t>
      </w:r>
    </w:p>
    <w:p>
      <w:pPr>
        <w:spacing w:after="0" w:line="266" w:lineRule="exact"/>
        <w:rPr>
          <w:rFonts w:ascii="Times New Roman" w:cs="Times New Roman" w:eastAsia="Times New Roman" w:hAnsi="Times New Roman"/>
          <w:sz w:val="22"/>
          <w:szCs w:val="22"/>
          <w:color w:val="auto"/>
        </w:rPr>
      </w:pPr>
    </w:p>
    <w:p>
      <w:pPr>
        <w:jc w:val="both"/>
        <w:ind w:firstLine="1952"/>
        <w:spacing w:after="0" w:line="245" w:lineRule="auto"/>
        <w:tabs>
          <w:tab w:leader="none" w:pos="2218"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2.1.1(b), DSE shall be and remain solely responsible for and have sole decision-making right over,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all Development activities for any TC Product, including any Post- Approval Studies relating to such TC Product, in support of obtaining Regulatory Approval for and Commercializing such TC Product in the DSE Territory (the “</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 All TC Products Development shall be in DSE’s sole discretion, and DSE shall have no obligation to perform any TC Products Development.</w:t>
      </w:r>
    </w:p>
    <w:p>
      <w:pPr>
        <w:spacing w:after="0" w:line="223" w:lineRule="exact"/>
        <w:rPr>
          <w:rFonts w:ascii="Times New Roman" w:cs="Times New Roman" w:eastAsia="Times New Roman" w:hAnsi="Times New Roman"/>
          <w:sz w:val="20"/>
          <w:szCs w:val="20"/>
          <w:color w:val="auto"/>
        </w:rPr>
      </w:pPr>
    </w:p>
    <w:p>
      <w:pPr>
        <w:jc w:val="both"/>
        <w:ind w:firstLine="1952"/>
        <w:spacing w:after="0" w:line="261" w:lineRule="auto"/>
        <w:tabs>
          <w:tab w:leader="none" w:pos="2242" w:val="left"/>
        </w:tabs>
        <w:numPr>
          <w:ilvl w:val="2"/>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DSE will have the right to request reasonable assistance from Esperion in connection with the performance of any activities constituting TC Products Development. Within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of any such request by DSE, the Parties shall discuss in good faith and agree in writing the assistance to be provided by Esperion (including timelines and corresponding budget) (the “</w:t>
      </w:r>
      <w:r>
        <w:rPr>
          <w:rFonts w:ascii="Times New Roman" w:cs="Times New Roman" w:eastAsia="Times New Roman" w:hAnsi="Times New Roman"/>
          <w:sz w:val="20"/>
          <w:szCs w:val="20"/>
          <w:b w:val="1"/>
          <w:bCs w:val="1"/>
          <w:color w:val="auto"/>
        </w:rPr>
        <w:t>Esperion Assistance</w:t>
      </w:r>
      <w:r>
        <w:rPr>
          <w:rFonts w:ascii="Times New Roman" w:cs="Times New Roman" w:eastAsia="Times New Roman" w:hAnsi="Times New Roman"/>
          <w:sz w:val="19"/>
          <w:szCs w:val="19"/>
          <w:color w:val="auto"/>
        </w:rPr>
        <w:t xml:space="preserve">”). Promptly following the end of each Calendar Quarter, Esperion will issue to DSE an invoice for the amount of Hourly Costs and Out-of-Pocket Costs incurred by or on behalf of Esperion in the performance of the Esperion Assistance in accordance with the budget agreed upon by the Parties. DSE will pay to Esperion the undisputed amount of each such invoices within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of DSE’s receipt of the applicable invoice.</w:t>
      </w:r>
    </w:p>
    <w:p>
      <w:pPr>
        <w:sectPr>
          <w:pgSz w:w="11900" w:h="16838" w:orient="portrait"/>
          <w:cols w:equalWidth="0" w:num="1">
            <w:col w:w="11240"/>
          </w:cols>
          <w:pgMar w:left="320" w:top="1404" w:right="339" w:bottom="1440" w:gutter="0" w:footer="0" w:header="0"/>
        </w:sectPr>
      </w:pPr>
    </w:p>
    <w:bookmarkStart w:id="62" w:name="page63"/>
    <w:bookmarkEnd w:id="62"/>
    <w:p>
      <w:pPr>
        <w:spacing w:after="0" w:line="230" w:lineRule="exact"/>
        <w:rPr>
          <w:sz w:val="20"/>
          <w:szCs w:val="20"/>
          <w:color w:val="auto"/>
        </w:rPr>
      </w:pPr>
    </w:p>
    <w:p>
      <w:pPr>
        <w:jc w:val="both"/>
        <w:ind w:left="980" w:hanging="506"/>
        <w:spacing w:after="0" w:line="236" w:lineRule="auto"/>
        <w:tabs>
          <w:tab w:leader="none" w:pos="98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each of Section 2.1.2 (Overview; Esperion Global Development Plan), Section 2.1.3 (Diligence; Compliance) and Section 2.1.4 (Performance) (after giving effect to the amendment set forth in Section 2.b.i herein), the term “Licensed Product” excludes any TC Product.</w:t>
      </w:r>
    </w:p>
    <w:p>
      <w:pPr>
        <w:spacing w:after="0" w:line="230" w:lineRule="exact"/>
        <w:rPr>
          <w:rFonts w:ascii="Times New Roman" w:cs="Times New Roman" w:eastAsia="Times New Roman" w:hAnsi="Times New Roman"/>
          <w:sz w:val="22"/>
          <w:szCs w:val="22"/>
          <w:color w:val="auto"/>
        </w:rPr>
      </w:pPr>
    </w:p>
    <w:p>
      <w:pPr>
        <w:ind w:left="980" w:hanging="566"/>
        <w:spacing w:after="0" w:line="245" w:lineRule="auto"/>
        <w:tabs>
          <w:tab w:leader="none" w:pos="98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Section 2.2 (Product Development), and all of its subsections, the term “Licensed Product” excludes any TC Product.</w:t>
      </w:r>
    </w:p>
    <w:p>
      <w:pPr>
        <w:spacing w:after="0" w:line="208" w:lineRule="exact"/>
        <w:rPr>
          <w:rFonts w:ascii="Times New Roman" w:cs="Times New Roman" w:eastAsia="Times New Roman" w:hAnsi="Times New Roman"/>
          <w:sz w:val="22"/>
          <w:szCs w:val="22"/>
          <w:color w:val="auto"/>
        </w:rPr>
      </w:pPr>
    </w:p>
    <w:p>
      <w:pPr>
        <w:ind w:left="980" w:right="20" w:hanging="554"/>
        <w:spacing w:after="0" w:line="245" w:lineRule="auto"/>
        <w:tabs>
          <w:tab w:leader="none" w:pos="96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added as a new last sentence to Section 2.2.1 (Product Development Activities): “A TC Product shall not be deemed a PDA New Product Project.”</w:t>
      </w:r>
    </w:p>
    <w:p>
      <w:pPr>
        <w:spacing w:after="0" w:line="208" w:lineRule="exact"/>
        <w:rPr>
          <w:rFonts w:ascii="Times New Roman" w:cs="Times New Roman" w:eastAsia="Times New Roman" w:hAnsi="Times New Roman"/>
          <w:sz w:val="22"/>
          <w:szCs w:val="22"/>
          <w:color w:val="auto"/>
        </w:rPr>
      </w:pPr>
    </w:p>
    <w:p>
      <w:pPr>
        <w:jc w:val="both"/>
        <w:ind w:left="980" w:hanging="494"/>
        <w:spacing w:after="0" w:line="241" w:lineRule="auto"/>
        <w:tabs>
          <w:tab w:leader="none" w:pos="96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2.3 (Records, Reports and Information Sharing) (together with all of its subsections except for clause (i) in Section 2.3.3) and Section 2.4 (Third Parties) (except for its clause (c)) will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0"/>
          <w:szCs w:val="20"/>
          <w:color w:val="auto"/>
        </w:rPr>
        <w:t xml:space="preserve"> to DSE and to a TC Product; specifically, all instances of “Esperion” will be replaced by “DSE” and all instances of “Licensed Product” will be replaced by “TC Product”.</w:t>
      </w:r>
    </w:p>
    <w:p>
      <w:pPr>
        <w:spacing w:after="0" w:line="216"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Regulatory Matters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jc w:val="both"/>
        <w:ind w:left="980" w:hanging="446"/>
        <w:spacing w:after="0" w:line="237" w:lineRule="auto"/>
        <w:tabs>
          <w:tab w:leader="none" w:pos="98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each of Section 3.1 (Ownership of Regulatory Filings), Section 3.2 (Responsibility for Regulatory Matters), Section 3.3 (Communications with Regulatory Authorities), Section 3.4 (Meetings with Regulatory Authorities) and Section 3.5 (Submissions), and each of such Sections’ respective subsections, the term “Licensed Product” excludes any TC Product.</w:t>
      </w:r>
    </w:p>
    <w:p>
      <w:pPr>
        <w:spacing w:after="0" w:line="216" w:lineRule="exact"/>
        <w:rPr>
          <w:rFonts w:ascii="Times New Roman" w:cs="Times New Roman" w:eastAsia="Times New Roman" w:hAnsi="Times New Roman"/>
          <w:sz w:val="22"/>
          <w:szCs w:val="22"/>
          <w:color w:val="auto"/>
        </w:rPr>
      </w:pPr>
    </w:p>
    <w:p>
      <w:pPr>
        <w:ind w:left="980" w:hanging="506"/>
        <w:spacing w:after="0" w:line="245" w:lineRule="auto"/>
        <w:tabs>
          <w:tab w:leader="none" w:pos="98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hereby added as a new Section 3.6 and current Sections 3.6 (Pricing and Reimbursement Approvals), 3.7 (Right of Reference) and 3.8 (Pharmacovigilance) are renumbered as necessary.</w:t>
      </w:r>
    </w:p>
    <w:p>
      <w:pPr>
        <w:spacing w:after="0" w:line="186"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3.6 </w:t>
      </w:r>
      <w:r>
        <w:rPr>
          <w:rFonts w:ascii="Times New Roman" w:cs="Times New Roman" w:eastAsia="Times New Roman" w:hAnsi="Times New Roman"/>
          <w:sz w:val="21"/>
          <w:szCs w:val="21"/>
          <w:b w:val="1"/>
          <w:bCs w:val="1"/>
          <w:color w:val="auto"/>
        </w:rPr>
        <w:t>TC Products Regulatory Matters</w:t>
      </w:r>
      <w:r>
        <w:rPr>
          <w:rFonts w:ascii="Times New Roman" w:cs="Times New Roman" w:eastAsia="Times New Roman" w:hAnsi="Times New Roman"/>
          <w:sz w:val="20"/>
          <w:szCs w:val="20"/>
          <w:color w:val="auto"/>
        </w:rPr>
        <w:t>.</w:t>
      </w:r>
    </w:p>
    <w:p>
      <w:pPr>
        <w:spacing w:after="0" w:line="248" w:lineRule="exact"/>
        <w:rPr>
          <w:rFonts w:ascii="Times New Roman" w:cs="Times New Roman" w:eastAsia="Times New Roman" w:hAnsi="Times New Roman"/>
          <w:sz w:val="22"/>
          <w:szCs w:val="22"/>
          <w:color w:val="auto"/>
        </w:rPr>
      </w:pPr>
    </w:p>
    <w:p>
      <w:pPr>
        <w:jc w:val="both"/>
        <w:ind w:left="-980" w:firstLine="2600"/>
        <w:spacing w:after="0" w:line="247" w:lineRule="auto"/>
        <w:tabs>
          <w:tab w:leader="none" w:pos="1899" w:val="left"/>
        </w:tabs>
        <w:numPr>
          <w:ilvl w:val="3"/>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Responsibility for Regulatory Matters and Ownership of Regulatory Filings for TC Products</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DSE will be solely responsible,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for all regulatory matters involving the TC Products in each jurisdiction in the DSE Territory (as determined on a regulatory jurisdiction by-regulatory jurisdiction basis), including (i) overseeing, monitoring and coordinating all regulatory actions, communications and filings with, and submissions to, each Regulatory Authority with respect to the TC Products, (ii) interfacing, corresponding and meeting with each Regulatory Authority with respect to the TC Products, (iii) seeking and maintaining all Regulatory Approvals for the TC Products, and (iv) maintaining and submitting all records required to be maintained or required to be submitted to any Regulatory Authority with respect to the TC Products, in each case ((i) – (iv)) in the DSE Territory. DSE will own all Regulatory Approvals and related Regulatory Documentation submitted to any Regulatory Authority for any TC Product in the DSE Territory.</w:t>
      </w:r>
    </w:p>
    <w:p>
      <w:pPr>
        <w:spacing w:after="0" w:line="195" w:lineRule="exact"/>
        <w:rPr>
          <w:rFonts w:ascii="Times New Roman" w:cs="Times New Roman" w:eastAsia="Times New Roman" w:hAnsi="Times New Roman"/>
          <w:sz w:val="20"/>
          <w:szCs w:val="20"/>
          <w:color w:val="auto"/>
        </w:rPr>
      </w:pPr>
    </w:p>
    <w:p>
      <w:pPr>
        <w:jc w:val="both"/>
        <w:ind w:left="-980" w:firstLine="2600"/>
        <w:spacing w:after="0" w:line="252" w:lineRule="auto"/>
        <w:tabs>
          <w:tab w:leader="none" w:pos="1897" w:val="left"/>
        </w:tabs>
        <w:numPr>
          <w:ilvl w:val="3"/>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Communications with Regulatory Authorities involving TC Products</w:t>
      </w:r>
      <w:r>
        <w:rPr>
          <w:rFonts w:ascii="Times New Roman" w:cs="Times New Roman" w:eastAsia="Times New Roman" w:hAnsi="Times New Roman"/>
          <w:sz w:val="19"/>
          <w:szCs w:val="19"/>
          <w:color w:val="auto"/>
        </w:rPr>
        <w:t>. DSE will own and respond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to all communications with each Regulatory Authority in the DSE Territory involving the TC Products.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after receipt of any Material Communication from</w:t>
      </w:r>
    </w:p>
    <w:p>
      <w:pPr>
        <w:sectPr>
          <w:pgSz w:w="11900" w:h="16838" w:orient="portrait"/>
          <w:cols w:equalWidth="0" w:num="1">
            <w:col w:w="10260"/>
          </w:cols>
          <w:pgMar w:left="1300" w:top="1440" w:right="339" w:bottom="1440" w:gutter="0" w:footer="0" w:header="0"/>
        </w:sectPr>
      </w:pPr>
    </w:p>
    <w:bookmarkStart w:id="63" w:name="page64"/>
    <w:bookmarkEnd w:id="63"/>
    <w:p>
      <w:pPr>
        <w:jc w:val="both"/>
        <w:spacing w:after="0" w:line="239" w:lineRule="auto"/>
        <w:rPr>
          <w:sz w:val="20"/>
          <w:szCs w:val="20"/>
          <w:color w:val="auto"/>
        </w:rPr>
      </w:pPr>
      <w:r>
        <w:rPr>
          <w:rFonts w:ascii="Times New Roman" w:cs="Times New Roman" w:eastAsia="Times New Roman" w:hAnsi="Times New Roman"/>
          <w:sz w:val="20"/>
          <w:szCs w:val="20"/>
          <w:color w:val="auto"/>
        </w:rPr>
        <w:t>such Regulatory Authority involving any TC Product (including any in-person meeting such Regulatory Authority), DSE will provide Esperion with a brief written description of the principal issues raised in such Material Communication with such Regulatory Authority. Upon Esperion’s reasonable request after receiving a notice from DSE in accordance with the immediately preceding sentence, DSE will provide to Esperion complete copies of such correspondence or meeting minutes, as applicable, of any such Material Communication within a reasonable period of time.</w:t>
      </w:r>
    </w:p>
    <w:p>
      <w:pPr>
        <w:spacing w:after="0" w:line="200" w:lineRule="exact"/>
        <w:rPr>
          <w:sz w:val="20"/>
          <w:szCs w:val="20"/>
          <w:color w:val="auto"/>
        </w:rPr>
      </w:pPr>
    </w:p>
    <w:p>
      <w:pPr>
        <w:jc w:val="both"/>
        <w:ind w:firstLine="2600"/>
        <w:spacing w:after="0" w:line="247" w:lineRule="auto"/>
        <w:tabs>
          <w:tab w:leader="none" w:pos="2893"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Submissions to Regulatory Authorities involving TC Products</w:t>
      </w:r>
      <w:r>
        <w:rPr>
          <w:rFonts w:ascii="Times New Roman" w:cs="Times New Roman" w:eastAsia="Times New Roman" w:hAnsi="Times New Roman"/>
          <w:sz w:val="19"/>
          <w:szCs w:val="19"/>
          <w:color w:val="auto"/>
        </w:rPr>
        <w:t>. As determined on a 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jurisdiction-byregulatory jurisdiction basis in the DSE Territory, with respect to each TC Product, DSE will own and control all submissions to Regulatory Authorities in the DSE Territory involving the TC Products. With respect to each TC Product, DSE will notify Esperion about each of the following events in the DSE Territory: (i) planned submissions of any filings or applications for Regulatory Approval of such TC Product to any Regulatory Authority with at least </w:t>
      </w:r>
      <w:r>
        <w:rPr>
          <w:rFonts w:ascii="Times New Roman" w:cs="Times New Roman" w:eastAsia="Times New Roman" w:hAnsi="Times New Roman"/>
          <w:sz w:val="17"/>
          <w:szCs w:val="17"/>
          <w:color w:val="auto"/>
        </w:rPr>
        <w:t>[***]’s</w:t>
      </w:r>
      <w:r>
        <w:rPr>
          <w:rFonts w:ascii="Times New Roman" w:cs="Times New Roman" w:eastAsia="Times New Roman" w:hAnsi="Times New Roman"/>
          <w:sz w:val="19"/>
          <w:szCs w:val="19"/>
          <w:color w:val="auto"/>
        </w:rPr>
        <w:t xml:space="preserve"> prior written notice prior to the intended submission date, (ii) confirmation of the submission date of a filing or application for Regulatory Approval of such TC Product to any Regulatory Authority, and (iii) receipt or denial of Regulatory Approval for such TC Product promptly after receipt. Without limiting the foregoing, DSE will allow Esperion a reasonable opportunity to review and comment on all filings and other submissions to Regulatory Authorities or other Governmental Authorities in the DSE Territory for a TC Product in advance of submitting any such filings or other submissions (such as, but not limited to, post-approval variations e.g. label updates, Quality Changes). DSE will consider all comments timely provided by Esperion in connection therewith and accept such comments if reasonable.</w:t>
      </w: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jc w:val="both"/>
        <w:ind w:firstLine="1952"/>
        <w:spacing w:after="0" w:line="247" w:lineRule="auto"/>
        <w:tabs>
          <w:tab w:leader="none" w:pos="224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Esperion Regulatory Assistance</w:t>
      </w:r>
      <w:r>
        <w:rPr>
          <w:rFonts w:ascii="Times New Roman" w:cs="Times New Roman" w:eastAsia="Times New Roman" w:hAnsi="Times New Roman"/>
          <w:sz w:val="19"/>
          <w:szCs w:val="19"/>
          <w:color w:val="auto"/>
        </w:rPr>
        <w:t>. DSE will have the right to request reasonable support and assistance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Esperion in connection with developing answers to questions and advice sought by DSE in connection with regulatory matters involving any TC Product in the DSE Territory, including with respect to communications with and submissions to Regulatory Authorities. Following any such request by DSE, Esperion agrees to use Commercially Reasonable Efforts to provide such reasonable regulatory support and assistance to DSE. Promptly following the end of each Calendar Quarter during which Esperion or any of its Affiliate have provided any such support or assistance to DSE, Esperion will issue to DSE an invoice for the amount of Hourly Costs and Out-of-Pocket Costs incurred by or on behalf of Esperion in the performance of such activities. DSE will pay to Esperion the undisputed amount of each such invoices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of DSE’s receipt of the applicable invoice.</w:t>
      </w:r>
    </w:p>
    <w:p>
      <w:pPr>
        <w:spacing w:after="0" w:line="227" w:lineRule="exact"/>
        <w:rPr>
          <w:rFonts w:ascii="Times New Roman" w:cs="Times New Roman" w:eastAsia="Times New Roman" w:hAnsi="Times New Roman"/>
          <w:sz w:val="20"/>
          <w:szCs w:val="20"/>
          <w:color w:val="auto"/>
        </w:rPr>
      </w:pPr>
    </w:p>
    <w:p>
      <w:pPr>
        <w:ind w:left="1960" w:right="20" w:hanging="566"/>
        <w:spacing w:after="0" w:line="235" w:lineRule="auto"/>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last sentence of Section 3.7 (Pricing and Reimbursement Approvals) (after giving effect to the amendment set forth in Section 2.c.ii herein) is hereby deleted in its entirety and replaced with the following:</w:t>
      </w:r>
    </w:p>
    <w:p>
      <w:pPr>
        <w:spacing w:after="0" w:line="215"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with respect to a TC Product, Esperion shall reasonably cooperate with DSE in connection therewith,</w:t>
      </w:r>
    </w:p>
    <w:p>
      <w:pPr>
        <w:spacing w:after="0" w:line="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including executing such documents as well as providing access to all necessary data in Esperion’s Control and not previously made available to DSE, such as patient-level data, all Regulatory Documentation, publication plan and manuscripts under preparation, support with the necessary data-analyses (bio-statistical analyses), as may be necessary to confirm DSE’s rights to prepare, submit, and obtain such Pricing Approvals for the Licensed Product in the DSE Territory.”</w:t>
      </w:r>
    </w:p>
    <w:p>
      <w:pPr>
        <w:spacing w:after="0" w:line="217"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Commercialization.</w:t>
      </w:r>
    </w:p>
    <w:p>
      <w:pPr>
        <w:spacing w:after="0" w:line="214"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Section 4.1.3 (DSE Commercial Diligence) is hereby deleted in its entirety and replaced with the following:</w:t>
      </w:r>
    </w:p>
    <w:p>
      <w:pPr>
        <w:sectPr>
          <w:pgSz w:w="11900" w:h="16838" w:orient="portrait"/>
          <w:cols w:equalWidth="0" w:num="1">
            <w:col w:w="11240"/>
          </w:cols>
          <w:pgMar w:left="320" w:top="1413" w:right="339" w:bottom="1440" w:gutter="0" w:footer="0" w:header="0"/>
        </w:sectPr>
      </w:pPr>
    </w:p>
    <w:bookmarkStart w:id="64" w:name="page65"/>
    <w:bookmarkEnd w:id="64"/>
    <w:p>
      <w:pPr>
        <w:ind w:firstLine="1944"/>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4.1.3. </w:t>
      </w:r>
      <w:r>
        <w:rPr>
          <w:rFonts w:ascii="Times New Roman" w:cs="Times New Roman" w:eastAsia="Times New Roman" w:hAnsi="Times New Roman"/>
          <w:sz w:val="21"/>
          <w:szCs w:val="21"/>
          <w:u w:val="single" w:color="auto"/>
          <w:color w:val="auto"/>
        </w:rPr>
        <w:t>DSE Commercial Diligence</w:t>
      </w:r>
      <w:r>
        <w:rPr>
          <w:rFonts w:ascii="Times New Roman" w:cs="Times New Roman" w:eastAsia="Times New Roman" w:hAnsi="Times New Roman"/>
          <w:sz w:val="20"/>
          <w:szCs w:val="20"/>
          <w:color w:val="auto"/>
        </w:rPr>
        <w:t>. Without limiting the foregoing, DSE will use Commercially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Efforts to Commercialize each Licensed Product that is not a TC Product throughout the DSE Territory;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then DSE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1960" w:hanging="506"/>
        <w:spacing w:after="0"/>
        <w:tabs>
          <w:tab w:leader="none" w:pos="1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4.1.4 (Selected Clinical Activities) is hereby amended to replace: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hanging="566"/>
        <w:spacing w:after="0" w:line="245" w:lineRule="auto"/>
        <w:tabs>
          <w:tab w:leader="none" w:pos="1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first two (2) sentences of Section 4.2.1 (Initial DSE Territory Commercialization Plan) are hereby deleted in their entirety and replaced with the following:</w:t>
      </w:r>
    </w:p>
    <w:p>
      <w:pPr>
        <w:spacing w:after="0" w:line="19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“DSE shall deliver to the JCC an initial written plan setting forth a summary of the anticipated activities to be</w:t>
      </w:r>
    </w:p>
    <w:p>
      <w:pPr>
        <w:spacing w:after="0" w:line="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undertaken by or on behalf of DSE in connection with the Commercialization of such Licensed Product in the DSE Territory (each, a “</w:t>
      </w:r>
      <w:r>
        <w:rPr>
          <w:rFonts w:ascii="Times New Roman" w:cs="Times New Roman" w:eastAsia="Times New Roman" w:hAnsi="Times New Roman"/>
          <w:sz w:val="21"/>
          <w:szCs w:val="21"/>
          <w:b w:val="1"/>
          <w:bCs w:val="1"/>
          <w:color w:val="auto"/>
        </w:rPr>
        <w:t>DSE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Territory Commercialization Plan</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Each DSE Territory Commercialization Plan shall describe, an outline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 xml:space="preserve">Commercialization activities for each Licensed Product in the DSE Territory, including </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firstLine="1620"/>
        <w:spacing w:after="0" w:line="247" w:lineRule="auto"/>
        <w:rPr>
          <w:sz w:val="20"/>
          <w:szCs w:val="20"/>
          <w:color w:val="auto"/>
        </w:rPr>
      </w:pPr>
      <w:r>
        <w:rPr>
          <w:rFonts w:ascii="Times New Roman" w:cs="Times New Roman" w:eastAsia="Times New Roman" w:hAnsi="Times New Roman"/>
          <w:sz w:val="20"/>
          <w:szCs w:val="20"/>
          <w:color w:val="auto"/>
        </w:rPr>
        <w:t>And, the following is added as a new last sentence to Section 4.2.1 (Initial DSE Territory Commercialization Plan): “The Parties agree that the respective DSE Territory Commercialization Plans for the Licensed Products NILEMDO™ and NUSTENDI™ have been delivered by DSE to the JCC in accordance with this Section 4.2.1 (Initial DSE Territory Commercialization Plan).”</w:t>
      </w:r>
    </w:p>
    <w:p>
      <w:pPr>
        <w:spacing w:after="0" w:line="221"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Manufacture and Supply</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960" w:right="20" w:hanging="446"/>
        <w:spacing w:after="0" w:line="245" w:lineRule="auto"/>
        <w:tabs>
          <w:tab w:leader="none" w:pos="19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Sections 5.1 (Manufacturing Responsibility) (and its subsections) and 5.2 (Supply Price) are hereby deleted in their entirety and replaced with the following:</w:t>
      </w:r>
    </w:p>
    <w:p>
      <w:pPr>
        <w:spacing w:after="0" w:line="200"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1"/>
          <w:szCs w:val="21"/>
          <w:b w:val="1"/>
          <w:bCs w:val="1"/>
          <w:color w:val="auto"/>
        </w:rPr>
        <w:t>Licensed Products other than TC Products</w:t>
      </w:r>
      <w:r>
        <w:rPr>
          <w:rFonts w:ascii="Times New Roman" w:cs="Times New Roman" w:eastAsia="Times New Roman" w:hAnsi="Times New Roman"/>
          <w:sz w:val="20"/>
          <w:szCs w:val="20"/>
          <w:color w:val="auto"/>
        </w:rPr>
        <w:t>. Esperion and DSE are parties to that certain Manufacturing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Supply Agreement, dated and effective as of July 30, 2019, as amended on November 20, 2020 (the “</w:t>
      </w:r>
      <w:r>
        <w:rPr>
          <w:rFonts w:ascii="Times New Roman" w:cs="Times New Roman" w:eastAsia="Times New Roman" w:hAnsi="Times New Roman"/>
          <w:sz w:val="21"/>
          <w:szCs w:val="21"/>
          <w:b w:val="1"/>
          <w:bCs w:val="1"/>
          <w:color w:val="auto"/>
        </w:rPr>
        <w:t>DSE Supply Agreement</w:t>
      </w:r>
      <w:r>
        <w:rPr>
          <w:rFonts w:ascii="Times New Roman" w:cs="Times New Roman" w:eastAsia="Times New Roman" w:hAnsi="Times New Roman"/>
          <w:sz w:val="20"/>
          <w:szCs w:val="20"/>
          <w:color w:val="auto"/>
        </w:rPr>
        <w:t>”) and (together with Daiichi Sankyo Company Limited) that certain Technology Transfer Agreement, dated and effective as of the effective date of the third amendment to this Agreement (the “</w:t>
      </w:r>
      <w:r>
        <w:rPr>
          <w:rFonts w:ascii="Times New Roman" w:cs="Times New Roman" w:eastAsia="Times New Roman" w:hAnsi="Times New Roman"/>
          <w:sz w:val="21"/>
          <w:szCs w:val="21"/>
          <w:b w:val="1"/>
          <w:bCs w:val="1"/>
          <w:color w:val="auto"/>
        </w:rPr>
        <w:t>Technology Transfer Agreement</w:t>
      </w:r>
      <w:r>
        <w:rPr>
          <w:rFonts w:ascii="Times New Roman" w:cs="Times New Roman" w:eastAsia="Times New Roman" w:hAnsi="Times New Roman"/>
          <w:sz w:val="20"/>
          <w:szCs w:val="20"/>
          <w:color w:val="auto"/>
        </w:rPr>
        <w:t>”), which, as between the Parties hereto, govern their respective rights and obligations with respect to the manufacture and supply of bulk drug product form of the Licensed Products (other than TC Products) for Commercialization in the DSE Territory.</w:t>
      </w:r>
    </w:p>
    <w:p>
      <w:pPr>
        <w:spacing w:after="0" w:line="20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5.2 </w:t>
      </w:r>
      <w:r>
        <w:rPr>
          <w:rFonts w:ascii="Times New Roman" w:cs="Times New Roman" w:eastAsia="Times New Roman" w:hAnsi="Times New Roman"/>
          <w:sz w:val="20"/>
          <w:szCs w:val="20"/>
          <w:b w:val="1"/>
          <w:bCs w:val="1"/>
          <w:color w:val="auto"/>
        </w:rPr>
        <w:t>TC Products</w:t>
      </w:r>
      <w:r>
        <w:rPr>
          <w:rFonts w:ascii="Times New Roman" w:cs="Times New Roman" w:eastAsia="Times New Roman" w:hAnsi="Times New Roman"/>
          <w:sz w:val="19"/>
          <w:szCs w:val="19"/>
          <w:color w:val="auto"/>
        </w:rPr>
        <w:t>. DSE will (a) have the exclusive right and responsibility to Manufacture and supply,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either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itself or through a Third Party manufacturer, the TC Products for Development and Commercialization thereof by or on behalf of DSE in the DSE Territory under this Agreement, and (b) be responsible, at its own cost and expense, for supplying all quantities of the TC Products for</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use in the performance of activities as part of any Esperion Assistance, as may be applicable. In the event DSE desires for Esperion to Manufacture or supply bulk drug product form of any TC Products, the Parties shall use Commercially Reasonable Efforts to negotiate a manufacturing and supply arrangement therefor.</w:t>
      </w:r>
    </w:p>
    <w:p>
      <w:pPr>
        <w:spacing w:after="0" w:line="200" w:lineRule="exact"/>
        <w:rPr>
          <w:sz w:val="20"/>
          <w:szCs w:val="20"/>
          <w:color w:val="auto"/>
        </w:rPr>
      </w:pPr>
    </w:p>
    <w:p>
      <w:pPr>
        <w:spacing w:after="0" w:line="259"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JCC Responsibility</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8" w:right="339" w:bottom="1440" w:gutter="0" w:footer="0" w:header="0"/>
        </w:sectPr>
      </w:pPr>
    </w:p>
    <w:bookmarkStart w:id="65" w:name="page66"/>
    <w:bookmarkEnd w:id="65"/>
    <w:p>
      <w:pPr>
        <w:ind w:left="1960" w:hanging="446"/>
        <w:spacing w:after="0"/>
        <w:tabs>
          <w:tab w:leader="none" w:pos="1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6.1.6 (JCC Responsibilities) is hereby deleted in its entirety and replaced with the following:</w:t>
      </w:r>
    </w:p>
    <w:p>
      <w:pPr>
        <w:spacing w:after="0" w:line="210"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1"/>
          <w:szCs w:val="21"/>
          <w:b w:val="1"/>
          <w:bCs w:val="1"/>
          <w:color w:val="auto"/>
        </w:rPr>
        <w:t>JCC Responsibilities</w:t>
      </w:r>
      <w:r>
        <w:rPr>
          <w:rFonts w:ascii="Times New Roman" w:cs="Times New Roman" w:eastAsia="Times New Roman" w:hAnsi="Times New Roman"/>
          <w:sz w:val="20"/>
          <w:szCs w:val="20"/>
          <w:color w:val="auto"/>
        </w:rPr>
        <w:t>. The JCC shall be limited to the following responsibilities in connection with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 reviewing the status of Licensed Products other than TC Products, including material Development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Manufacturing matters;</w:t>
      </w:r>
    </w:p>
    <w:p>
      <w:pPr>
        <w:spacing w:after="0" w:line="234" w:lineRule="exact"/>
        <w:rPr>
          <w:sz w:val="20"/>
          <w:szCs w:val="20"/>
          <w:color w:val="auto"/>
        </w:rPr>
      </w:pPr>
    </w:p>
    <w:p>
      <w:pPr>
        <w:ind w:right="20" w:firstLine="1952"/>
        <w:spacing w:after="0" w:line="255" w:lineRule="auto"/>
        <w:tabs>
          <w:tab w:leader="none" w:pos="222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any request by DSE to conduct a Selected Clinical Activity for a Licensed Product other than a TC Product by or under the oversight of DSE in the DSE Territory, including the approval of the relevant protocol and related documentation;</w:t>
      </w:r>
    </w:p>
    <w:p>
      <w:pPr>
        <w:spacing w:after="0" w:line="213" w:lineRule="exact"/>
        <w:rPr>
          <w:rFonts w:ascii="Times New Roman" w:cs="Times New Roman" w:eastAsia="Times New Roman" w:hAnsi="Times New Roman"/>
          <w:sz w:val="20"/>
          <w:szCs w:val="20"/>
          <w:color w:val="auto"/>
        </w:rPr>
      </w:pPr>
    </w:p>
    <w:p>
      <w:pPr>
        <w:ind w:firstLine="1952"/>
        <w:spacing w:after="0" w:line="269" w:lineRule="auto"/>
        <w:tabs>
          <w:tab w:leader="none" w:pos="223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any other matters regarding the Development or Manufacturing of Licensed Products other than TC Products referred to the JCC by the terms of this Agreement; and</w:t>
      </w:r>
    </w:p>
    <w:p>
      <w:pPr>
        <w:spacing w:after="0" w:line="186" w:lineRule="exact"/>
        <w:rPr>
          <w:rFonts w:ascii="Times New Roman" w:cs="Times New Roman" w:eastAsia="Times New Roman" w:hAnsi="Times New Roman"/>
          <w:sz w:val="20"/>
          <w:szCs w:val="20"/>
          <w:color w:val="auto"/>
        </w:rPr>
      </w:pPr>
    </w:p>
    <w:p>
      <w:pPr>
        <w:ind w:left="2240" w:hanging="288"/>
        <w:spacing w:after="0"/>
        <w:tabs>
          <w:tab w:leader="none" w:pos="22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such other activities as the Parties agree in writing shall be the responsibility of the JCC.</w:t>
      </w:r>
    </w:p>
    <w:p>
      <w:pPr>
        <w:spacing w:after="0" w:line="256" w:lineRule="exact"/>
        <w:rPr>
          <w:rFonts w:ascii="Times New Roman" w:cs="Times New Roman" w:eastAsia="Times New Roman" w:hAnsi="Times New Roman"/>
          <w:sz w:val="20"/>
          <w:szCs w:val="20"/>
          <w:color w:val="auto"/>
        </w:rPr>
      </w:pPr>
    </w:p>
    <w:p>
      <w:pPr>
        <w:ind w:left="1960" w:hanging="506"/>
        <w:spacing w:after="0"/>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6.1.7(c) (Tie-Breaking) is hereby deleted in its entirety and replaced with the following:</w:t>
      </w:r>
    </w:p>
    <w:p>
      <w:pPr>
        <w:spacing w:after="0" w:line="214" w:lineRule="exact"/>
        <w:rPr>
          <w:rFonts w:ascii="Times New Roman" w:cs="Times New Roman" w:eastAsia="Times New Roman" w:hAnsi="Times New Roman"/>
          <w:sz w:val="22"/>
          <w:szCs w:val="22"/>
          <w:color w:val="auto"/>
        </w:rPr>
      </w:pPr>
    </w:p>
    <w:p>
      <w:pPr>
        <w:ind w:left="2220" w:hanging="268"/>
        <w:spacing w:after="0"/>
        <w:tabs>
          <w:tab w:leader="none" w:pos="2220"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u w:val="single" w:color="auto"/>
          <w:color w:val="auto"/>
        </w:rPr>
        <w:t>Tie-Breaking</w:t>
      </w:r>
      <w:r>
        <w:rPr>
          <w:rFonts w:ascii="Times New Roman" w:cs="Times New Roman" w:eastAsia="Times New Roman" w:hAnsi="Times New Roman"/>
          <w:sz w:val="19"/>
          <w:szCs w:val="19"/>
          <w:color w:val="auto"/>
        </w:rPr>
        <w:t>. If a dispute cannot be resolved under Section 6.1.7(b) (Escalation), then:</w:t>
      </w:r>
    </w:p>
    <w:p>
      <w:pPr>
        <w:spacing w:after="0" w:line="251" w:lineRule="exact"/>
        <w:rPr>
          <w:rFonts w:ascii="Times New Roman" w:cs="Times New Roman" w:eastAsia="Times New Roman" w:hAnsi="Times New Roman"/>
          <w:sz w:val="20"/>
          <w:szCs w:val="20"/>
          <w:b w:val="1"/>
          <w:bCs w:val="1"/>
          <w:color w:val="auto"/>
        </w:rPr>
      </w:pPr>
    </w:p>
    <w:p>
      <w:pPr>
        <w:ind w:firstLine="2600"/>
        <w:spacing w:after="0" w:line="269" w:lineRule="auto"/>
        <w:tabs>
          <w:tab w:leader="none" w:pos="2846"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Chief Executive Officer of DSE or his or her designee shall have the deciding vote if the dispute relates to (A)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or (B)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and</w:t>
      </w:r>
    </w:p>
    <w:p>
      <w:pPr>
        <w:spacing w:after="0" w:line="199" w:lineRule="exact"/>
        <w:rPr>
          <w:rFonts w:ascii="Times New Roman" w:cs="Times New Roman" w:eastAsia="Times New Roman" w:hAnsi="Times New Roman"/>
          <w:sz w:val="20"/>
          <w:szCs w:val="20"/>
          <w:color w:val="auto"/>
        </w:rPr>
      </w:pPr>
    </w:p>
    <w:p>
      <w:pPr>
        <w:ind w:left="2900" w:hanging="300"/>
        <w:spacing w:after="0"/>
        <w:tabs>
          <w:tab w:leader="none" w:pos="290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Chief Executive Officer of Esperion shall have the deciding vote if the dispute relates to:</w:t>
      </w:r>
    </w:p>
    <w:p>
      <w:pPr>
        <w:spacing w:after="0" w:line="256" w:lineRule="exact"/>
        <w:rPr>
          <w:rFonts w:ascii="Times New Roman" w:cs="Times New Roman" w:eastAsia="Times New Roman" w:hAnsi="Times New Roman"/>
          <w:sz w:val="20"/>
          <w:szCs w:val="20"/>
          <w:color w:val="auto"/>
        </w:rPr>
      </w:pPr>
    </w:p>
    <w:p>
      <w:pPr>
        <w:ind w:left="3420" w:hanging="334"/>
        <w:spacing w:after="0"/>
        <w:tabs>
          <w:tab w:leader="none" w:pos="3420"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p>
    <w:p>
      <w:pPr>
        <w:spacing w:after="0" w:line="256" w:lineRule="exact"/>
        <w:rPr>
          <w:rFonts w:ascii="Times New Roman" w:cs="Times New Roman" w:eastAsia="Times New Roman" w:hAnsi="Times New Roman"/>
          <w:sz w:val="20"/>
          <w:szCs w:val="20"/>
          <w:color w:val="auto"/>
        </w:rPr>
      </w:pPr>
    </w:p>
    <w:p>
      <w:pPr>
        <w:ind w:left="3400" w:hanging="314"/>
        <w:spacing w:after="0"/>
        <w:tabs>
          <w:tab w:leader="none" w:pos="3400"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and</w:t>
      </w:r>
    </w:p>
    <w:p>
      <w:pPr>
        <w:spacing w:after="0" w:line="256" w:lineRule="exact"/>
        <w:rPr>
          <w:rFonts w:ascii="Times New Roman" w:cs="Times New Roman" w:eastAsia="Times New Roman" w:hAnsi="Times New Roman"/>
          <w:sz w:val="20"/>
          <w:szCs w:val="20"/>
          <w:color w:val="auto"/>
        </w:rPr>
      </w:pPr>
    </w:p>
    <w:p>
      <w:pPr>
        <w:ind w:left="3400" w:hanging="314"/>
        <w:spacing w:after="0"/>
        <w:tabs>
          <w:tab w:leader="none" w:pos="3400"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p>
    <w:p>
      <w:pPr>
        <w:spacing w:after="0" w:line="242" w:lineRule="exact"/>
        <w:rPr>
          <w:rFonts w:ascii="Times New Roman" w:cs="Times New Roman" w:eastAsia="Times New Roman" w:hAnsi="Times New Roman"/>
          <w:sz w:val="20"/>
          <w:szCs w:val="20"/>
          <w:color w:val="auto"/>
        </w:rPr>
      </w:pPr>
    </w:p>
    <w:p>
      <w:pPr>
        <w:jc w:val="both"/>
        <w:ind w:firstLine="2600"/>
        <w:spacing w:after="0" w:line="254" w:lineRule="auto"/>
        <w:tabs>
          <w:tab w:leader="none" w:pos="2943"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within the JCC’s responsibilities that cannot be resolved under Section 6.1.7(b) (Escalation) that are not subject to a Party’s deciding vote pursuant to clause (i) or clause (ii) of this Section 6.1.7(c) (Tie-Breaking), shall be subject to the mutual agreement of both Parties and shall not be subject to arbitration or any other form of external dispute resolution.</w:t>
      </w:r>
    </w:p>
    <w:p>
      <w:pPr>
        <w:spacing w:after="0" w:line="188" w:lineRule="exact"/>
        <w:rPr>
          <w:sz w:val="20"/>
          <w:szCs w:val="20"/>
          <w:color w:val="auto"/>
        </w:rPr>
      </w:pPr>
    </w:p>
    <w:p>
      <w:pPr>
        <w:jc w:val="both"/>
        <w:ind w:firstLine="2592"/>
        <w:spacing w:after="0" w:line="239" w:lineRule="auto"/>
        <w:rPr>
          <w:sz w:val="20"/>
          <w:szCs w:val="20"/>
          <w:color w:val="auto"/>
        </w:rPr>
      </w:pPr>
      <w:r>
        <w:rPr>
          <w:rFonts w:ascii="Times New Roman" w:cs="Times New Roman" w:eastAsia="Times New Roman" w:hAnsi="Times New Roman"/>
          <w:sz w:val="20"/>
          <w:szCs w:val="20"/>
          <w:color w:val="auto"/>
        </w:rPr>
        <w:t>For the avoidance of doubt: (a) all matters relating to the Development, Manufacturing and Commercialization of the Licensed Products other than TC Products or of the TC Products, in each case, in the Esperion Territory shall be decided by Esperion and shall not be subject to decision-making by the JCC, and (b) all matters relating to the Development, Manufacturing and Commercialization of the TC Products in the DSE Territory shall be decided by DSE and shall not be subject to decision-making by the JCC.</w:t>
      </w:r>
    </w:p>
    <w:p>
      <w:pPr>
        <w:sectPr>
          <w:pgSz w:w="11900" w:h="16838" w:orient="portrait"/>
          <w:cols w:equalWidth="0" w:num="1">
            <w:col w:w="11240"/>
          </w:cols>
          <w:pgMar w:left="320" w:top="1426" w:right="339" w:bottom="1440" w:gutter="0" w:footer="0" w:header="0"/>
        </w:sectPr>
      </w:pPr>
    </w:p>
    <w:bookmarkStart w:id="66" w:name="page67"/>
    <w:bookmarkEnd w:id="66"/>
    <w:p>
      <w:pPr>
        <w:spacing w:after="0" w:line="200" w:lineRule="exact"/>
        <w:rPr>
          <w:sz w:val="20"/>
          <w:szCs w:val="20"/>
          <w:color w:val="auto"/>
        </w:rPr>
      </w:pPr>
    </w:p>
    <w:p>
      <w:pPr>
        <w:spacing w:after="0" w:line="273"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Licenses; Retained Rights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Section 8.1.1 (Exclusive License Grant) is hereby deleted in its entirety and replaced with the following:</w:t>
      </w:r>
    </w:p>
    <w:p>
      <w:pPr>
        <w:spacing w:after="0" w:line="247" w:lineRule="exact"/>
        <w:rPr>
          <w:sz w:val="20"/>
          <w:szCs w:val="20"/>
          <w:color w:val="auto"/>
        </w:rPr>
      </w:pPr>
    </w:p>
    <w:p>
      <w:pPr>
        <w:jc w:val="both"/>
        <w:ind w:firstLine="1620"/>
        <w:spacing w:after="0" w:line="234" w:lineRule="auto"/>
        <w:rPr>
          <w:sz w:val="20"/>
          <w:szCs w:val="20"/>
          <w:color w:val="auto"/>
        </w:rPr>
      </w:pPr>
      <w:r>
        <w:rPr>
          <w:rFonts w:ascii="Times New Roman" w:cs="Times New Roman" w:eastAsia="Times New Roman" w:hAnsi="Times New Roman"/>
          <w:sz w:val="20"/>
          <w:szCs w:val="20"/>
          <w:b w:val="1"/>
          <w:bCs w:val="1"/>
          <w:color w:val="auto"/>
        </w:rPr>
        <w:t>8.1.1. Exclusive License Grants</w:t>
      </w:r>
      <w:r>
        <w:rPr>
          <w:rFonts w:ascii="Times New Roman" w:cs="Times New Roman" w:eastAsia="Times New Roman" w:hAnsi="Times New Roman"/>
          <w:sz w:val="20"/>
          <w:szCs w:val="20"/>
          <w:color w:val="auto"/>
        </w:rPr>
        <w:t>. Subject to the terms and conditions of this Agreement, including Section 8.3 (Retained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Esperion hereby grants to DSE a non-transferable (except as provided in Section 14.2 (Assignment)), sublicensable (subject to Section 8.1.2 (DSE Sublicense Rights)), exclusive (even as to Esperion) license under the Esperion Technology, Esperion Patent Rights and Esperion Trademarks to: (a) (i) Commercialize the Licensed Products other than TC Products in the Field in the DSE Territory and (ii) Manufacture and have Manufactured the Licensed Products other than TC Products anywhere in the world (excluding Japan) solely for the purpose of Commercializing such Licensed Products other than TC Products in the Field in the DSE Territory, and (b) (i) Develop, Manufacture and Commercialize the TC Products in the Field in the DSE Territory, (ii) Develop and have Developed the TC Products anywhere in the world (excluding Japan) solely for the purpose of obtaining Regulatory Approval of and Commercializing the TC Products in the Field in the DSE Territory, and (iii) Manufacture and have Manufactured the TC Products anywhere in the world (excluding Japan) solely for the purposes of Developing the TC Products for Commercialization in the Field in the DSE Territory and Commercializing the TC Products in the Field in the DSE Territory. The licenses granted hereunder shall be royalty-bearing for the Royalty Term applicable to each Licensed Product in each country in the DSE Territory, and, after the expiration of the Royalty Term applicable to such Licensed Product in such country, shall convert to a fully-paid perpetual license for such Licensed Product in such country.</w:t>
      </w:r>
    </w:p>
    <w:p>
      <w:pPr>
        <w:spacing w:after="0" w:line="235" w:lineRule="exact"/>
        <w:rPr>
          <w:sz w:val="20"/>
          <w:szCs w:val="20"/>
          <w:color w:val="auto"/>
        </w:rPr>
      </w:pPr>
    </w:p>
    <w:p>
      <w:pPr>
        <w:ind w:left="1960" w:hanging="506"/>
        <w:spacing w:after="0"/>
        <w:tabs>
          <w:tab w:leader="none" w:pos="19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8.3 (Retained Rights) is hereby deleted in its entirety and replaced with the following:</w:t>
      </w:r>
    </w:p>
    <w:p>
      <w:pPr>
        <w:spacing w:after="0" w:line="211" w:lineRule="exact"/>
        <w:rPr>
          <w:sz w:val="20"/>
          <w:szCs w:val="20"/>
          <w:color w:val="auto"/>
        </w:rPr>
      </w:pPr>
    </w:p>
    <w:p>
      <w:pPr>
        <w:jc w:val="both"/>
        <w:ind w:firstLine="1620"/>
        <w:spacing w:after="0" w:line="236"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1"/>
          <w:szCs w:val="21"/>
          <w:b w:val="1"/>
          <w:bCs w:val="1"/>
          <w:u w:val="single" w:color="auto"/>
          <w:color w:val="auto"/>
        </w:rPr>
        <w:t>Retained Rights</w:t>
      </w:r>
      <w:r>
        <w:rPr>
          <w:rFonts w:ascii="Times New Roman" w:cs="Times New Roman" w:eastAsia="Times New Roman" w:hAnsi="Times New Roman"/>
          <w:sz w:val="20"/>
          <w:szCs w:val="20"/>
          <w:color w:val="auto"/>
        </w:rPr>
        <w:t>. For the avoidance of doubt, notwithstanding the provisions of Section 8.1 (Licensed Grants to DSE) or any other provision of this Agreement, Esperion shall retain rights under the Esperion Patent Rights, Esperion Know-How, Regulatory Documentation, Esperion Trademarks and Esperion house marks to: (a) perform its responsibilities under this Agreement, the DSE Supply Agreement and the Technology Transfer Agreement, (b) without limiting the Parties’ obligations under Section 6 of the Technology Transfer Agreement, Manufacture, have Manufactured, supply and have supplied the Licensed Products other than TC Products in the DSE Territory and DS Territory solely for the purpose of Developing and Commercializing such Licensed Products other than TC Products in the Esperion Territory, (c) Develop and have Developed the TC Products in the DSE Territory and DS Territory solely for the purpose of obtaining Regulatory Approval of and Commercializing the TC Products in the Esperion Territory, and (d) Manufacture, have Manufactured, supply and have supplied the TC Products in the DSE Territory and DS Territory solely for the purpose of Developing and Commercializing the TC Products in the Esperion Territory.</w:t>
      </w:r>
    </w:p>
    <w:p>
      <w:pPr>
        <w:spacing w:after="0" w:line="220"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TC Products Financial Terms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960" w:hanging="446"/>
        <w:spacing w:after="0"/>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9.3 (Commercial Milestones) is hereby deleted in its entirety and replaced with the following:</w:t>
      </w:r>
    </w:p>
    <w:p>
      <w:pPr>
        <w:spacing w:after="0" w:line="211" w:lineRule="exact"/>
        <w:rPr>
          <w:sz w:val="20"/>
          <w:szCs w:val="20"/>
          <w:color w:val="auto"/>
        </w:rPr>
      </w:pPr>
    </w:p>
    <w:p>
      <w:pPr>
        <w:ind w:firstLine="162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1"/>
          <w:szCs w:val="21"/>
          <w:b w:val="1"/>
          <w:bCs w:val="1"/>
          <w:color w:val="auto"/>
        </w:rPr>
        <w:t>Commercial Milestones</w:t>
      </w:r>
      <w:r>
        <w:rPr>
          <w:rFonts w:ascii="Times New Roman" w:cs="Times New Roman" w:eastAsia="Times New Roman" w:hAnsi="Times New Roman"/>
          <w:sz w:val="20"/>
          <w:szCs w:val="20"/>
          <w:color w:val="auto"/>
        </w:rPr>
        <w:t>. DSE shall provide Esperion with written notice of the achievement by DSE 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Parties of any commercial milestone event set</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forth below in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0"/>
          <w:szCs w:val="20"/>
          <w:color w:val="auto"/>
        </w:rPr>
        <w:t xml:space="preserve"> (Commercial Milestones)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after the end of the Fiscal Quarter in which such event has occurred. Esperion shall invoice DSE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of receipt of such written notice by DSE, and DSE shall remit the associated milestone payment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of the receipt of such invoice. The Parties acknowledge that more than one commercial milestone payment may become due and payable in any given Fiscal Year. Each commercial milestone payment set forth below shall be payable only once, regardless of the number of times a commercial milestone event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926580" cy="1603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26580" cy="1603375"/>
                    </a:xfrm>
                    <a:prstGeom prst="rect">
                      <a:avLst/>
                    </a:prstGeom>
                    <a:noFill/>
                  </pic:spPr>
                </pic:pic>
              </a:graphicData>
            </a:graphic>
          </wp:anchor>
        </w:drawing>
      </w:r>
    </w:p>
    <w:p>
      <w:pPr>
        <w:spacing w:after="0" w:line="253" w:lineRule="exact"/>
        <w:rPr>
          <w:sz w:val="20"/>
          <w:szCs w:val="20"/>
          <w:color w:val="auto"/>
        </w:rPr>
      </w:pPr>
    </w:p>
    <w:tbl>
      <w:tblPr>
        <w:tblLayout w:type="fixed"/>
        <w:tblInd w:w="2260" w:type="dxa"/>
        <w:tblCellMar>
          <w:top w:w="0" w:type="dxa"/>
          <w:left w:w="0" w:type="dxa"/>
          <w:bottom w:w="0" w:type="dxa"/>
          <w:right w:w="0" w:type="dxa"/>
        </w:tblCellMar>
      </w:tblPr>
      <w:tr>
        <w:trPr>
          <w:trHeight w:val="262"/>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Commercial Milestone Event</w:t>
            </w:r>
          </w:p>
        </w:tc>
        <w:tc>
          <w:tcPr>
            <w:tcW w:w="4140" w:type="dxa"/>
            <w:vAlign w:val="bottom"/>
          </w:tcPr>
          <w:p>
            <w:pPr>
              <w:ind w:left="1420"/>
              <w:spacing w:after="0"/>
              <w:rPr>
                <w:sz w:val="20"/>
                <w:szCs w:val="20"/>
                <w:color w:val="auto"/>
              </w:rPr>
            </w:pPr>
            <w:r>
              <w:rPr>
                <w:rFonts w:ascii="Times New Roman" w:cs="Times New Roman" w:eastAsia="Times New Roman" w:hAnsi="Times New Roman"/>
                <w:sz w:val="20"/>
                <w:szCs w:val="20"/>
                <w:b w:val="1"/>
                <w:bCs w:val="1"/>
                <w:color w:val="auto"/>
                <w:w w:val="98"/>
              </w:rPr>
              <w:t>Commercial Milestone Payment</w:t>
            </w:r>
          </w:p>
        </w:tc>
      </w:tr>
    </w:tbl>
    <w:p>
      <w:pPr>
        <w:spacing w:after="0" w:line="25" w:lineRule="exact"/>
        <w:rPr>
          <w:sz w:val="20"/>
          <w:szCs w:val="20"/>
          <w:color w:val="auto"/>
        </w:rPr>
      </w:pPr>
    </w:p>
    <w:p>
      <w:pPr>
        <w:ind w:left="40" w:right="3760" w:hanging="12"/>
        <w:spacing w:after="0"/>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(excluding Net Sales for any TC Products) in the DSE Territory equal to or exceeding Euro </w:t>
      </w:r>
      <w:r>
        <w:rPr>
          <w:rFonts w:ascii="Times New Roman" w:cs="Times New Roman" w:eastAsia="Times New Roman" w:hAnsi="Times New Roman"/>
          <w:sz w:val="17"/>
          <w:szCs w:val="17"/>
          <w:color w:val="auto"/>
        </w:rPr>
        <w:t>[***]</w:t>
      </w:r>
    </w:p>
    <w:p>
      <w:pPr>
        <w:spacing w:after="0" w:line="53" w:lineRule="exact"/>
        <w:rPr>
          <w:sz w:val="20"/>
          <w:szCs w:val="20"/>
          <w:color w:val="auto"/>
        </w:rPr>
      </w:pPr>
    </w:p>
    <w:p>
      <w:pPr>
        <w:ind w:left="40" w:right="3760"/>
        <w:spacing w:after="0"/>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(excluding Net Sales for any TC Products) in the DSE Territory equal to or exceeding Euro </w:t>
      </w:r>
      <w:r>
        <w:rPr>
          <w:rFonts w:ascii="Times New Roman" w:cs="Times New Roman" w:eastAsia="Times New Roman" w:hAnsi="Times New Roman"/>
          <w:sz w:val="17"/>
          <w:szCs w:val="17"/>
          <w:color w:val="auto"/>
        </w:rPr>
        <w:t>[***]</w:t>
      </w:r>
    </w:p>
    <w:p>
      <w:pPr>
        <w:spacing w:after="0" w:line="53" w:lineRule="exact"/>
        <w:rPr>
          <w:sz w:val="20"/>
          <w:szCs w:val="20"/>
          <w:color w:val="auto"/>
        </w:rPr>
      </w:pPr>
    </w:p>
    <w:p>
      <w:pPr>
        <w:ind w:left="40" w:right="3760"/>
        <w:spacing w:after="0"/>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(excluding Net Sales for any TC Products) in the DSE Territory equal to or exceeding Euro </w:t>
      </w:r>
      <w:r>
        <w:rPr>
          <w:rFonts w:ascii="Times New Roman" w:cs="Times New Roman" w:eastAsia="Times New Roman" w:hAnsi="Times New Roman"/>
          <w:sz w:val="17"/>
          <w:szCs w:val="17"/>
          <w:color w:val="auto"/>
        </w:rPr>
        <w:t>[***]</w:t>
      </w:r>
    </w:p>
    <w:p>
      <w:pPr>
        <w:spacing w:after="0" w:line="363" w:lineRule="exact"/>
        <w:rPr>
          <w:sz w:val="20"/>
          <w:szCs w:val="20"/>
          <w:color w:val="auto"/>
        </w:rPr>
      </w:pPr>
    </w:p>
    <w:p>
      <w:pPr>
        <w:ind w:left="1960" w:right="20" w:hanging="506"/>
        <w:spacing w:after="0" w:line="245"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Sections 9.4.1 (Royalty Rates) and 9.4.2 (Royalty Term) are hereby deleted in its entirety and replaced with the following:</w:t>
      </w:r>
    </w:p>
    <w:p>
      <w:pPr>
        <w:spacing w:after="0" w:line="200"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9.4.1. </w:t>
      </w:r>
      <w:r>
        <w:rPr>
          <w:rFonts w:ascii="Times New Roman" w:cs="Times New Roman" w:eastAsia="Times New Roman" w:hAnsi="Times New Roman"/>
          <w:sz w:val="21"/>
          <w:szCs w:val="21"/>
          <w:b w:val="1"/>
          <w:bCs w:val="1"/>
          <w:color w:val="auto"/>
        </w:rPr>
        <w:t>Royalty Rates</w:t>
      </w:r>
      <w:r>
        <w:rPr>
          <w:rFonts w:ascii="Times New Roman" w:cs="Times New Roman" w:eastAsia="Times New Roman" w:hAnsi="Times New Roman"/>
          <w:sz w:val="20"/>
          <w:szCs w:val="20"/>
          <w:color w:val="auto"/>
        </w:rPr>
        <w:t>. Subject to the terms and conditions of this Agreement, DSE shall pay to Esperion royalties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Sales of Licensed Products sold in the DSE Territory for a given Fiscal Year by or on behalf of DSE and its Related Parties during the Royalty Term for each Licensed Product at the applicable royalty rate set forth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756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20"/>
                <w:szCs w:val="20"/>
                <w:b w:val="1"/>
                <w:bCs w:val="1"/>
                <w:color w:val="auto"/>
              </w:rPr>
              <w:t>Net Sales of Licensed Products for a given Fiscal Year in the DSE Territory</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Royalty (as a percentage of Net Sales)</w:t>
            </w:r>
          </w:p>
        </w:tc>
      </w:tr>
      <w:tr>
        <w:trPr>
          <w:trHeight w:val="260"/>
        </w:trPr>
        <w:tc>
          <w:tcPr>
            <w:tcW w:w="7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Portion less than or equal to Euro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w:t>
            </w:r>
          </w:p>
        </w:tc>
      </w:tr>
      <w:tr>
        <w:trPr>
          <w:trHeight w:val="21"/>
        </w:trPr>
        <w:tc>
          <w:tcPr>
            <w:tcW w:w="7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7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Portion greater than Euro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less than or equal to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7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7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Portion greater than Euro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w:t>
            </w:r>
          </w:p>
        </w:tc>
      </w:tr>
      <w:tr>
        <w:trPr>
          <w:trHeight w:val="21"/>
        </w:trPr>
        <w:tc>
          <w:tcPr>
            <w:tcW w:w="7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16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9.4.2. </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The period during which the royalties set forth in Section 9.4.1 (Royalty Rates)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payable on a Licensed Product-by-Licensed Product and country-by-country basis shall commence upon the First Commercial Sale of such Licensed Product in such country and continue until the latest of (a) the expiration of the last Valid Claim of the Esperion Patent Rights that covers such Licensed Product in such country, (b) the expiration of Regulatory Exclusivity for such Licensed Product in such country, and (c)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anniversary of the First Commercial Sale of such Licensed Product in such country</w:t>
      </w:r>
    </w:p>
    <w:p>
      <w:pPr>
        <w:jc w:val="both"/>
        <w:spacing w:after="0" w:line="238"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0"/>
          <w:szCs w:val="20"/>
          <w:color w:val="auto"/>
        </w:rPr>
        <w:t>”). For the avoidance of doubt, from and after the expiration of the Royalty Term for a Licensed Product in a country of the DSE Territory, Net Sales of such Licensed Product in such country shall be excluded for purposes of calculating the Net Sales thresholds set forth in Section 9.3 (Commercial Milestones).</w:t>
      </w:r>
    </w:p>
    <w:p>
      <w:pPr>
        <w:spacing w:after="0" w:line="217"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right="20" w:hanging="446"/>
        <w:spacing w:after="0" w:line="245" w:lineRule="auto"/>
        <w:tabs>
          <w:tab w:leader="none" w:pos="19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 (b) of Section 11.1 (General Indemnification by DSE) is hereby deleted in its entirety and replaced with the following: “(b) the Commercialization of</w:t>
      </w:r>
    </w:p>
    <w:p>
      <w:pPr>
        <w:sectPr>
          <w:pgSz w:w="11900" w:h="16838" w:orient="portrait"/>
          <w:cols w:equalWidth="0" w:num="1">
            <w:col w:w="11240"/>
          </w:cols>
          <w:pgMar w:left="320" w:top="1408" w:right="339" w:bottom="1440" w:gutter="0" w:footer="0" w:header="0"/>
        </w:sectPr>
      </w:pPr>
    </w:p>
    <w:bookmarkStart w:id="68" w:name="page69"/>
    <w:bookmarkEnd w:id="68"/>
    <w:p>
      <w:pPr>
        <w:ind w:left="840"/>
        <w:spacing w:after="0"/>
        <w:rPr>
          <w:sz w:val="20"/>
          <w:szCs w:val="20"/>
          <w:color w:val="auto"/>
        </w:rPr>
      </w:pPr>
      <w:r>
        <w:rPr>
          <w:rFonts w:ascii="Times New Roman" w:cs="Times New Roman" w:eastAsia="Times New Roman" w:hAnsi="Times New Roman"/>
          <w:sz w:val="20"/>
          <w:szCs w:val="20"/>
          <w:color w:val="auto"/>
        </w:rPr>
        <w:t>Licensed Products other than TC Products by or on behalf of DSE or any of its Related Parties,”.</w:t>
      </w:r>
    </w:p>
    <w:p>
      <w:pPr>
        <w:spacing w:after="0" w:line="243" w:lineRule="exact"/>
        <w:rPr>
          <w:sz w:val="20"/>
          <w:szCs w:val="20"/>
          <w:color w:val="auto"/>
        </w:rPr>
      </w:pPr>
    </w:p>
    <w:p>
      <w:pPr>
        <w:jc w:val="both"/>
        <w:ind w:left="840" w:hanging="506"/>
        <w:spacing w:after="0" w:line="237" w:lineRule="auto"/>
        <w:tabs>
          <w:tab w:leader="none" w:pos="8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are added as new clauses (c) and (d) to Section 11.1 (General Indemnification by DSE): “(c) the Manufacture of Licensed Products other than TC Products by or on behalf of DSE or any of its Related Parties, (d) the Development, Manufacture and Commercialization of TC Products by or on behalf of DSE or any of its Related Parties,”.</w:t>
      </w:r>
    </w:p>
    <w:p>
      <w:pPr>
        <w:spacing w:after="0" w:line="229" w:lineRule="exact"/>
        <w:rPr>
          <w:rFonts w:ascii="Times New Roman" w:cs="Times New Roman" w:eastAsia="Times New Roman" w:hAnsi="Times New Roman"/>
          <w:sz w:val="22"/>
          <w:szCs w:val="22"/>
          <w:color w:val="auto"/>
        </w:rPr>
      </w:pPr>
    </w:p>
    <w:p>
      <w:pPr>
        <w:ind w:left="840" w:hanging="566"/>
        <w:spacing w:after="0"/>
        <w:tabs>
          <w:tab w:leader="none" w:pos="8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 (c) of Section 11.1 (General Indemnification by DSE) is hereby renumbered as clause (e).</w:t>
      </w:r>
    </w:p>
    <w:p>
      <w:pPr>
        <w:spacing w:after="0" w:line="233" w:lineRule="exact"/>
        <w:rPr>
          <w:rFonts w:ascii="Times New Roman" w:cs="Times New Roman" w:eastAsia="Times New Roman" w:hAnsi="Times New Roman"/>
          <w:sz w:val="22"/>
          <w:szCs w:val="22"/>
          <w:color w:val="auto"/>
        </w:rPr>
      </w:pPr>
    </w:p>
    <w:p>
      <w:pPr>
        <w:jc w:val="both"/>
        <w:ind w:left="840" w:hanging="554"/>
        <w:spacing w:after="0" w:line="234" w:lineRule="auto"/>
        <w:tabs>
          <w:tab w:leader="none" w:pos="82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Clauses (b) and (c) of Section 11.2 (General Indemnification by Esperion) are hereby deleted in their entirety and replaced with the following: “(b) the Development of Licensed Products other than TC Products by Esperion or any of its Affiliates, (c) the Commercialization of Licensed Products other than TC Products by or on behalf of Esperion or any of its Affiliates (excluding such conduct by DSE, its Affiliates and its Sublicensee hereunder),”.</w:t>
      </w:r>
    </w:p>
    <w:p>
      <w:pPr>
        <w:spacing w:after="0" w:line="228" w:lineRule="exact"/>
        <w:rPr>
          <w:rFonts w:ascii="Times New Roman" w:cs="Times New Roman" w:eastAsia="Times New Roman" w:hAnsi="Times New Roman"/>
          <w:sz w:val="22"/>
          <w:szCs w:val="22"/>
          <w:color w:val="auto"/>
        </w:rPr>
      </w:pPr>
    </w:p>
    <w:p>
      <w:pPr>
        <w:jc w:val="both"/>
        <w:ind w:left="840" w:hanging="494"/>
        <w:spacing w:after="0" w:line="236" w:lineRule="auto"/>
        <w:tabs>
          <w:tab w:leader="none" w:pos="82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added as new clause (d) to Section 11.2 (General Indemnification by Esperion): “(d) the Development, Manufacture and Commercialization of TC Products by or on behalf of Esperion or any of its Affiliates (excluding such conduct by DSE, its Affiliates and its Sublicensee hereunder),”.</w:t>
      </w:r>
    </w:p>
    <w:p>
      <w:pPr>
        <w:spacing w:after="0" w:line="216" w:lineRule="exact"/>
        <w:rPr>
          <w:rFonts w:ascii="Times New Roman" w:cs="Times New Roman" w:eastAsia="Times New Roman" w:hAnsi="Times New Roman"/>
          <w:sz w:val="22"/>
          <w:szCs w:val="22"/>
          <w:color w:val="auto"/>
        </w:rPr>
      </w:pPr>
    </w:p>
    <w:p>
      <w:pPr>
        <w:ind w:left="-140" w:right="1260" w:firstLine="426"/>
        <w:spacing w:after="0" w:line="462" w:lineRule="auto"/>
        <w:tabs>
          <w:tab w:leader="none" w:pos="83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Clause (d) of Section 11.2 (General Indemnification by Esperion) is hereby renumbered as clause (e). </w:t>
      </w: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19"/>
          <w:szCs w:val="19"/>
          <w:u w:val="single" w:color="auto"/>
          <w:color w:val="auto"/>
        </w:rPr>
        <w:t>TC Products Data Ownership</w:t>
      </w:r>
      <w:r>
        <w:rPr>
          <w:rFonts w:ascii="Times New Roman" w:cs="Times New Roman" w:eastAsia="Times New Roman" w:hAnsi="Times New Roman"/>
          <w:sz w:val="19"/>
          <w:szCs w:val="19"/>
          <w:color w:val="auto"/>
        </w:rPr>
        <w:t>.</w:t>
      </w:r>
    </w:p>
    <w:p>
      <w:pPr>
        <w:spacing w:after="0" w:line="20" w:lineRule="exact"/>
        <w:rPr>
          <w:rFonts w:ascii="Times New Roman" w:cs="Times New Roman" w:eastAsia="Times New Roman" w:hAnsi="Times New Roman"/>
          <w:sz w:val="22"/>
          <w:szCs w:val="22"/>
          <w:color w:val="auto"/>
        </w:rPr>
      </w:pPr>
    </w:p>
    <w:p>
      <w:pPr>
        <w:ind w:left="840" w:hanging="446"/>
        <w:spacing w:after="0"/>
        <w:tabs>
          <w:tab w:leader="none" w:pos="84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12.1.2 (Ownership) is hereby deleted in its entirety and replaced with the following:</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12.1.2. </w:t>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jc w:val="both"/>
        <w:ind w:left="-1120" w:firstLine="2600"/>
        <w:spacing w:after="0" w:line="236" w:lineRule="auto"/>
        <w:tabs>
          <w:tab w:leader="none" w:pos="175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DSE shall own the entire right, title and interest in and to all Know-How, scientific, technical, test, or other data or information pertaining to any TC Product that is generated by or on behalf of DSE or any of its Affiliates or Sublicensees during the Term, or, as may be applicable, is generated by or on behalf of Esperion or any of its Affiliates or (sub)contractors in performing the Esperion Assistance, including research data, preclinical data, clinical pharmacology data, chemistry-manufacture-controls (CMC) data (including analytical and quality control data and stability data), pre-clinical data, clinical data, clinical study reports, any safety database pertaining to any TC Product and all data used in connection with submissions of any Regulatory Approval with respect to any TC Product (collectively, “</w:t>
      </w:r>
      <w:r>
        <w:rPr>
          <w:rFonts w:ascii="Times New Roman" w:cs="Times New Roman" w:eastAsia="Times New Roman" w:hAnsi="Times New Roman"/>
          <w:sz w:val="21"/>
          <w:szCs w:val="21"/>
          <w:b w:val="1"/>
          <w:bCs w:val="1"/>
          <w:color w:val="auto"/>
        </w:rPr>
        <w:t>TC Products Data</w:t>
      </w:r>
      <w:r>
        <w:rPr>
          <w:rFonts w:ascii="Times New Roman" w:cs="Times New Roman" w:eastAsia="Times New Roman" w:hAnsi="Times New Roman"/>
          <w:sz w:val="20"/>
          <w:szCs w:val="20"/>
          <w:color w:val="auto"/>
        </w:rPr>
        <w:t>”). Esperion shall assign and hereby does assign (and shall cause its Affiliates and (sub)contractors to assign) to DSE all rights worldwide in and to any TC Products Data generated in the performance of any Esperion Assistance, as applicable, to effectuate the ownership thereof as set forth in this Section 12.1.2(a).</w:t>
      </w:r>
    </w:p>
    <w:p>
      <w:pPr>
        <w:sectPr>
          <w:pgSz w:w="11900" w:h="16838" w:orient="portrait"/>
          <w:cols w:equalWidth="0" w:num="1">
            <w:col w:w="10120"/>
          </w:cols>
          <w:pgMar w:left="1440" w:top="1413" w:right="339" w:bottom="1440" w:gutter="0" w:footer="0" w:header="0"/>
        </w:sectPr>
      </w:pPr>
    </w:p>
    <w:bookmarkStart w:id="69" w:name="page70"/>
    <w:bookmarkEnd w:id="69"/>
    <w:p>
      <w:pPr>
        <w:jc w:val="both"/>
        <w:ind w:firstLine="2600"/>
        <w:spacing w:after="0" w:line="254" w:lineRule="auto"/>
        <w:tabs>
          <w:tab w:leader="none" w:pos="2877"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DSE shall own the entire right, title and interest in and to all inventions it Invents during the Term, and, except as set forth in Section 12.1.2(a), Esperion shall own the entire right, title and interest in and to all inventions it Invents during the Term. The Parties shall jointly own the entire right, title and interest in and to all inventions they Invent jointly during the Term.</w:t>
      </w:r>
    </w:p>
    <w:p>
      <w:pPr>
        <w:spacing w:after="0" w:line="21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hanging="446"/>
        <w:spacing w:after="0" w:line="245" w:lineRule="auto"/>
        <w:tabs>
          <w:tab w:leader="none" w:pos="19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13.4.2 (Disclosure of Certain Commercialization Related Information) is hereby deleted in its entirety and replaced with the following:</w:t>
      </w:r>
    </w:p>
    <w:p>
      <w:pPr>
        <w:spacing w:after="0" w:line="191" w:lineRule="exact"/>
        <w:rPr>
          <w:sz w:val="20"/>
          <w:szCs w:val="20"/>
          <w:color w:val="auto"/>
        </w:rPr>
      </w:pPr>
    </w:p>
    <w:p>
      <w:pPr>
        <w:jc w:val="both"/>
        <w:ind w:firstLine="1620"/>
        <w:spacing w:after="0" w:line="246" w:lineRule="auto"/>
        <w:rPr>
          <w:sz w:val="20"/>
          <w:szCs w:val="20"/>
          <w:color w:val="auto"/>
        </w:rPr>
      </w:pPr>
      <w:r>
        <w:rPr>
          <w:rFonts w:ascii="Times New Roman" w:cs="Times New Roman" w:eastAsia="Times New Roman" w:hAnsi="Times New Roman"/>
          <w:sz w:val="20"/>
          <w:szCs w:val="20"/>
          <w:b w:val="1"/>
          <w:bCs w:val="1"/>
          <w:color w:val="auto"/>
        </w:rPr>
        <w:t>13.4.2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Disclosure of Certain Commercialization Related Information</w:t>
      </w:r>
      <w:r>
        <w:rPr>
          <w:rFonts w:ascii="Times New Roman" w:cs="Times New Roman" w:eastAsia="Times New Roman" w:hAnsi="Times New Roman"/>
          <w:sz w:val="20"/>
          <w:szCs w:val="20"/>
          <w:color w:val="auto"/>
        </w:rPr>
        <w:t>. DSE will disclose and will transfer (or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transferred) to Esperion copies of all material information pertaining to pricing and market access strategy and health economic study information, in each case, for each Licensed Product in the DSE Territory in the possession of DSE or any of its Related Parties as of the date of such reversion that is necessary or useful for the continued Commercialization of such Licensed Product in the DSE Territory;</w:t>
      </w:r>
    </w:p>
    <w:p>
      <w:pPr>
        <w:spacing w:after="0" w:line="224" w:lineRule="exact"/>
        <w:rPr>
          <w:sz w:val="20"/>
          <w:szCs w:val="20"/>
          <w:color w:val="auto"/>
        </w:rPr>
      </w:pPr>
    </w:p>
    <w:p>
      <w:pPr>
        <w:ind w:left="1960" w:hanging="506"/>
        <w:spacing w:after="0"/>
        <w:tabs>
          <w:tab w:leader="none" w:pos="1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13.4.6(a) (Transition Activities) is hereby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firstLine="2276"/>
        <w:spacing w:after="0" w:line="235" w:lineRule="auto"/>
        <w:tabs>
          <w:tab w:leader="none" w:pos="2569"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wish to provide a mechanism to ensure that, in the event patients are being treated with any Licensed Product or are being given any Licensed Product in any ongoing Clinical Studies as of the date of such termination, such patients will continue to have access to such Licensed Product while the development, regulatory and commercial responsibilities, as applicable, for such Licensed Product are transitioned from DSE to Esperion. As such, Esperion may request DSE to perform transition activities that are necessary or useful to (1) where such Licensed Product is a TC Product that is the subject of ongoing Clinical Studies, transfer to Esperion or its designee all such ongoing Clinical Studies or, if so instructed by Esperion, wind-down the conduct of any such ongoing Clinical Studies (subject to ethical obligations and requirements under applicable Laws), (2) transition DSE’s and its Related Parties’ Commercialization activities (if any) to Esperion of such Licensed Product to minimize disruption to sales, (3) provide patients with continued access to such Licensed Product (if applicable), (4) enable Esperion (or Esperion’s designee) to assume and execute all responsibilities under all Regulatory Approvals for such Licensed Product and, where such Licensed Product is a TC Product, under all ongoing Clinical Studies (other than those designated by Esperion to be wound down), and (5) ensure long-term continuity of supply for such Licensed Product (collectively, the “</w:t>
      </w:r>
      <w:r>
        <w:rPr>
          <w:rFonts w:ascii="Times New Roman" w:cs="Times New Roman" w:eastAsia="Times New Roman" w:hAnsi="Times New Roman"/>
          <w:sz w:val="21"/>
          <w:szCs w:val="21"/>
          <w:b w:val="1"/>
          <w:bCs w:val="1"/>
          <w:color w:val="auto"/>
        </w:rPr>
        <w:t>Transition Activities</w:t>
      </w:r>
      <w:r>
        <w:rPr>
          <w:rFonts w:ascii="Times New Roman" w:cs="Times New Roman" w:eastAsia="Times New Roman" w:hAnsi="Times New Roman"/>
          <w:sz w:val="20"/>
          <w:szCs w:val="20"/>
          <w:color w:val="auto"/>
        </w:rPr>
        <w:t xml:space="preserve">”), but no longer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following the effective date of termination.</w:t>
      </w:r>
    </w:p>
    <w:p>
      <w:pPr>
        <w:spacing w:after="0" w:line="229" w:lineRule="exact"/>
        <w:rPr>
          <w:rFonts w:ascii="Times New Roman" w:cs="Times New Roman" w:eastAsia="Times New Roman" w:hAnsi="Times New Roman"/>
          <w:sz w:val="20"/>
          <w:szCs w:val="20"/>
          <w:color w:val="auto"/>
        </w:rPr>
      </w:pPr>
    </w:p>
    <w:p>
      <w:pPr>
        <w:ind w:left="1960" w:hanging="566"/>
        <w:spacing w:after="0"/>
        <w:tabs>
          <w:tab w:leader="none" w:pos="1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13.4.6(c) (Transition Activities) is hereby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firstLine="2276"/>
        <w:spacing w:after="0" w:line="259" w:lineRule="auto"/>
        <w:tabs>
          <w:tab w:leader="none" w:pos="2542"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Esperion will reimburse DSE’s out-of-pocket costs to perform the Transition Activities. Esperion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own all revenue derived from any and all Licensed Products after the termination date and DSE will remit all such revenues to Esperion no later than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day following the end of the month in which such revenue was received.</w:t>
      </w:r>
    </w:p>
    <w:p>
      <w:pPr>
        <w:spacing w:after="0" w:line="207" w:lineRule="exact"/>
        <w:rPr>
          <w:rFonts w:ascii="Times New Roman" w:cs="Times New Roman" w:eastAsia="Times New Roman" w:hAnsi="Times New Roman"/>
          <w:sz w:val="20"/>
          <w:szCs w:val="20"/>
          <w:color w:val="auto"/>
        </w:rPr>
      </w:pPr>
    </w:p>
    <w:p>
      <w:pPr>
        <w:jc w:val="both"/>
        <w:ind w:left="660" w:hanging="328"/>
        <w:spacing w:after="0" w:line="235" w:lineRule="auto"/>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All other original terms and conditions of the LCA, except as specifically amended herein, will remain in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and effect. To the extent there is a conflict between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Amendment and the LCA, the provisions of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Amendment will control.</w:t>
      </w:r>
    </w:p>
    <w:p>
      <w:pPr>
        <w:spacing w:after="0" w:line="2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Effectiveness</w:t>
      </w:r>
      <w:r>
        <w:rPr>
          <w:rFonts w:ascii="Times New Roman" w:cs="Times New Roman" w:eastAsia="Times New Roman" w:hAnsi="Times New Roman"/>
          <w:sz w:val="20"/>
          <w:szCs w:val="20"/>
          <w:color w:val="auto"/>
        </w:rPr>
        <w:t>.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will be effective as of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w:t>
      </w:r>
    </w:p>
    <w:p>
      <w:pPr>
        <w:sectPr>
          <w:pgSz w:w="11900" w:h="16838" w:orient="portrait"/>
          <w:cols w:equalWidth="0" w:num="1">
            <w:col w:w="11240"/>
          </w:cols>
          <w:pgMar w:left="320" w:top="1426" w:right="339" w:bottom="1440" w:gutter="0" w:footer="0" w:header="0"/>
        </w:sectPr>
      </w:pPr>
    </w:p>
    <w:bookmarkStart w:id="70" w:name="page71"/>
    <w:bookmarkEnd w:id="70"/>
    <w:p>
      <w:pPr>
        <w:spacing w:after="0" w:line="226" w:lineRule="exact"/>
        <w:rPr>
          <w:sz w:val="20"/>
          <w:szCs w:val="20"/>
          <w:color w:val="auto"/>
        </w:rPr>
      </w:pPr>
    </w:p>
    <w:p>
      <w:pPr>
        <w:jc w:val="both"/>
        <w:ind w:left="328" w:hanging="328"/>
        <w:spacing w:after="0" w:line="227" w:lineRule="auto"/>
        <w:tabs>
          <w:tab w:leader="none" w:pos="3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may not be assigned, nor may any right or obligation hereunder be assigned, by either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prior written consent of the other Party, except that either Party may assign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Amendment, and its rights and obligations hereunder, without the other Party’s prior written consent together with an assignment of the LCA in accordance with Section 14.2 (Assignment) of the LCA.</w:t>
      </w:r>
    </w:p>
    <w:p>
      <w:pPr>
        <w:spacing w:after="0" w:line="212"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 The provisions of Sections 14.3 (Governing Law), 14.4 (Jurisdiction), 14.5 (Entire Agreement; Amendment); 14.6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(Severability), 14.7 (Headings), 14.8 (Waiver of Rule of Construction), 14.9 (Interpretation) and 14.17 (Counterparts) of the LCA are hereby incorporated into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Amendment by reference and shall apply to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xml:space="preserve">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0"/>
          <w:szCs w:val="20"/>
          <w:color w:val="auto"/>
        </w:rPr>
        <w:t>.</w:t>
      </w:r>
    </w:p>
    <w:p>
      <w:pPr>
        <w:spacing w:after="0" w:line="354"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908"/>
          </w:cols>
          <w:pgMar w:left="652" w:top="1440" w:right="339" w:bottom="1440" w:gutter="0" w:footer="0" w:header="0"/>
        </w:sectPr>
      </w:pPr>
    </w:p>
    <w:bookmarkStart w:id="71" w:name="page72"/>
    <w:bookmarkEnd w:id="71"/>
    <w:p>
      <w:pPr>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to be duly executed by their respective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as of the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color w:val="auto"/>
        </w:rPr>
        <w:t xml:space="preserve"> Amendment Effective Date.</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140" w:val="left"/>
        </w:tabs>
        <w:rPr>
          <w:sz w:val="20"/>
          <w:szCs w:val="20"/>
          <w:color w:val="auto"/>
        </w:rPr>
      </w:pPr>
      <w:r>
        <w:rPr>
          <w:rFonts w:ascii="Times New Roman" w:cs="Times New Roman" w:eastAsia="Times New Roman" w:hAnsi="Times New Roman"/>
          <w:sz w:val="20"/>
          <w:szCs w:val="20"/>
          <w:b w:val="1"/>
          <w:bCs w:val="1"/>
          <w:color w:val="auto"/>
        </w:rPr>
        <w:t>Esperion Therapeutics, Inc.</w:t>
      </w:r>
      <w:r>
        <w:rPr>
          <w:sz w:val="20"/>
          <w:szCs w:val="20"/>
          <w:color w:val="auto"/>
        </w:rPr>
        <w:tab/>
      </w:r>
      <w:r>
        <w:rPr>
          <w:rFonts w:ascii="Times New Roman" w:cs="Times New Roman" w:eastAsia="Times New Roman" w:hAnsi="Times New Roman"/>
          <w:sz w:val="19"/>
          <w:szCs w:val="19"/>
          <w:b w:val="1"/>
          <w:bCs w:val="1"/>
          <w:color w:val="auto"/>
        </w:rPr>
        <w:t>Daiichi Sankyo Europe GmbH</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 Authorized Signatory</w:t>
            </w: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 /s/ Authorized Signatory</w:t>
            </w:r>
          </w:p>
        </w:tc>
      </w:tr>
      <w:tr>
        <w:trPr>
          <w:trHeight w:val="27"/>
        </w:trPr>
        <w:tc>
          <w:tcPr>
            <w:tcW w:w="34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317"/>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r>
      <w:tr>
        <w:trPr>
          <w:trHeight w:val="283"/>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r>
      <w:tr>
        <w:trPr>
          <w:trHeight w:val="1060"/>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 Authorized Signatory</w:t>
            </w:r>
          </w:p>
        </w:tc>
      </w:tr>
      <w:tr>
        <w:trPr>
          <w:trHeight w:val="20"/>
        </w:trPr>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r>
      <w:tr>
        <w:trPr>
          <w:trHeight w:val="310"/>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r>
      <w:tr>
        <w:trPr>
          <w:trHeight w:val="284"/>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0" w:type="dxa"/>
            <w:vAlign w:val="bottom"/>
            <w:gridSpan w:val="3"/>
          </w:tcPr>
          <w:p>
            <w:pPr>
              <w:ind w:left="13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140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9"/>
          <w:szCs w:val="19"/>
          <w:b w:val="1"/>
          <w:bCs w:val="1"/>
          <w:color w:val="auto"/>
        </w:rPr>
        <w:t>CERTAIN CONFIDENTIAL INFORMATION, MARKED BY [***] HAS BEEN EXCLUDED FROM THIS EXHIBIT BECAUSE IT IS BOTH NOT MATERIAL AND IS THE TYPE THAT THE REGISTRANT TREATS AS PRIVATE OR CONFIDENTIAL.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3"/>
          <w:szCs w:val="23"/>
          <w:b w:val="1"/>
          <w:bCs w:val="1"/>
          <w:color w:val="auto"/>
          <w:vertAlign w:val="superscript"/>
        </w:rPr>
        <w:t>st</w:t>
      </w:r>
      <w:r>
        <w:rPr>
          <w:rFonts w:ascii="Times New Roman" w:cs="Times New Roman" w:eastAsia="Times New Roman" w:hAnsi="Times New Roman"/>
          <w:sz w:val="20"/>
          <w:szCs w:val="20"/>
          <w:b w:val="1"/>
          <w:bCs w:val="1"/>
          <w:color w:val="auto"/>
        </w:rPr>
        <w:t xml:space="preserve"> AMENDMENT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 AND COLLABORATION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DAIICHI SANKYO COMPANY,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ESPERION THERAPEUTICS,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January 2, 2024</w:t>
      </w:r>
    </w:p>
    <w:p>
      <w:pPr>
        <w:spacing w:after="0" w:line="22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0"/>
          <w:szCs w:val="20"/>
          <w:color w:val="auto"/>
        </w:rPr>
        <w:t xml:space="preserve"> AMENDMENT to the LICENSE AND COLLABORATION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0"/>
          <w:szCs w:val="20"/>
          <w:color w:val="auto"/>
        </w:rPr>
        <w:t>”), entered into as of January 2, 2024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0"/>
          <w:szCs w:val="20"/>
          <w:color w:val="auto"/>
        </w:rPr>
        <w:t>”), is entered into by and between Daiichi Sankyo Company, Limited, a company organized and existing under the laws of Japan (“</w:t>
      </w:r>
      <w:r>
        <w:rPr>
          <w:rFonts w:ascii="Times New Roman" w:cs="Times New Roman" w:eastAsia="Times New Roman" w:hAnsi="Times New Roman"/>
          <w:sz w:val="21"/>
          <w:szCs w:val="21"/>
          <w:u w:val="single" w:color="auto"/>
          <w:color w:val="auto"/>
        </w:rPr>
        <w:t>DS</w:t>
      </w:r>
      <w:r>
        <w:rPr>
          <w:rFonts w:ascii="Times New Roman" w:cs="Times New Roman" w:eastAsia="Times New Roman" w:hAnsi="Times New Roman"/>
          <w:sz w:val="20"/>
          <w:szCs w:val="20"/>
          <w:color w:val="auto"/>
        </w:rPr>
        <w:t>”) and Esperion Therapeutics, Inc., a corporation organized and existing under the laws of the state of Delaware (“</w:t>
      </w:r>
      <w:r>
        <w:rPr>
          <w:rFonts w:ascii="Times New Roman" w:cs="Times New Roman" w:eastAsia="Times New Roman" w:hAnsi="Times New Roman"/>
          <w:sz w:val="21"/>
          <w:szCs w:val="21"/>
          <w:u w:val="single" w:color="auto"/>
          <w:color w:val="auto"/>
        </w:rPr>
        <w:t>Esperion</w:t>
      </w:r>
      <w:r>
        <w:rPr>
          <w:rFonts w:ascii="Times New Roman" w:cs="Times New Roman" w:eastAsia="Times New Roman" w:hAnsi="Times New Roman"/>
          <w:sz w:val="20"/>
          <w:szCs w:val="20"/>
          <w:color w:val="auto"/>
        </w:rPr>
        <w:t>”). DS and Esperion are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Esperion and DS are parties to that certain License and Collaboration Agreement, dated and effective as of April 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2021 (the “</w:t>
      </w:r>
      <w:r>
        <w:rPr>
          <w:rFonts w:ascii="Times New Roman" w:cs="Times New Roman" w:eastAsia="Times New Roman" w:hAnsi="Times New Roman"/>
          <w:sz w:val="21"/>
          <w:szCs w:val="21"/>
          <w:u w:val="single" w:color="auto"/>
          <w:color w:val="auto"/>
        </w:rPr>
        <w:t>LCA</w:t>
      </w:r>
      <w:r>
        <w:rPr>
          <w:rFonts w:ascii="Times New Roman" w:cs="Times New Roman" w:eastAsia="Times New Roman" w:hAnsi="Times New Roman"/>
          <w:sz w:val="20"/>
          <w:szCs w:val="20"/>
          <w:color w:val="auto"/>
        </w:rPr>
        <w:t>”), and that certain Manufacturing and Supply Agreement by and between DS and Esperion, dated and effective as of July 27, 2021 (the “</w:t>
      </w:r>
      <w:r>
        <w:rPr>
          <w:rFonts w:ascii="Times New Roman" w:cs="Times New Roman" w:eastAsia="Times New Roman" w:hAnsi="Times New Roman"/>
          <w:sz w:val="21"/>
          <w:szCs w:val="21"/>
          <w:u w:val="single" w:color="auto"/>
          <w:color w:val="auto"/>
        </w:rPr>
        <w:t>DS Supply Agreement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disputes and litigation arose between an Affiliate of DS, Daiichi Sankyo Europe GmbH (“</w:t>
      </w:r>
      <w:r>
        <w:rPr>
          <w:rFonts w:ascii="Times New Roman" w:cs="Times New Roman" w:eastAsia="Times New Roman" w:hAnsi="Times New Roman"/>
          <w:sz w:val="21"/>
          <w:szCs w:val="21"/>
          <w:u w:val="single" w:color="auto"/>
          <w:color w:val="auto"/>
        </w:rPr>
        <w:t>DSE</w:t>
      </w:r>
      <w:r>
        <w:rPr>
          <w:rFonts w:ascii="Times New Roman" w:cs="Times New Roman" w:eastAsia="Times New Roman" w:hAnsi="Times New Roman"/>
          <w:sz w:val="20"/>
          <w:szCs w:val="20"/>
          <w:color w:val="auto"/>
        </w:rPr>
        <w:t>”), and Esperion as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their respective rights and obligations under certain agreements, which disputes and litigation were fully and finally resolved pursuant to that certain Confidential Settlement Agreement And Release, dated as of January 2, 2024 (“the </w:t>
      </w:r>
      <w:r>
        <w:rPr>
          <w:rFonts w:ascii="Times New Roman" w:cs="Times New Roman" w:eastAsia="Times New Roman" w:hAnsi="Times New Roman"/>
          <w:sz w:val="21"/>
          <w:szCs w:val="21"/>
          <w:u w:val="single" w:color="auto"/>
          <w:color w:val="auto"/>
        </w:rPr>
        <w:t>Settlement Agreement</w:t>
      </w:r>
      <w:r>
        <w:rPr>
          <w:rFonts w:ascii="Times New Roman" w:cs="Times New Roman" w:eastAsia="Times New Roman" w:hAnsi="Times New Roman"/>
          <w:sz w:val="20"/>
          <w:szCs w:val="20"/>
          <w:color w:val="auto"/>
        </w:rPr>
        <w:t>”); and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Section 2 of the Settlement Agreement requires the Parties to amend the LCA as provided herein.</w:t>
      </w:r>
    </w:p>
    <w:p>
      <w:pPr>
        <w:spacing w:after="0" w:line="243"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including the payments to be made by DSE to Esperion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Agreement, the receipt and sufficiency of which are hereby acknowledged, the Parties, intending to be legally bound, hereby agree as follows:</w:t>
      </w:r>
    </w:p>
    <w:p>
      <w:pPr>
        <w:spacing w:after="0" w:line="22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Except as defined herein, all capitalized terms used in this Amendment have the meaning set forth in the LCA.</w:t>
      </w:r>
    </w:p>
    <w:p>
      <w:pPr>
        <w:spacing w:after="0" w:line="233" w:lineRule="exact"/>
        <w:rPr>
          <w:rFonts w:ascii="Times New Roman" w:cs="Times New Roman" w:eastAsia="Times New Roman" w:hAnsi="Times New Roman"/>
          <w:sz w:val="22"/>
          <w:szCs w:val="22"/>
          <w:color w:val="auto"/>
        </w:rPr>
      </w:pPr>
    </w:p>
    <w:p>
      <w:pPr>
        <w:ind w:left="980" w:right="5700" w:hanging="648"/>
        <w:spacing w:after="0" w:line="498" w:lineRule="auto"/>
        <w:tabs>
          <w:tab w:leader="none" w:pos="6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LCA Amendments</w:t>
      </w:r>
      <w:r>
        <w:rPr>
          <w:rFonts w:ascii="Times New Roman" w:cs="Times New Roman" w:eastAsia="Times New Roman" w:hAnsi="Times New Roman"/>
          <w:sz w:val="20"/>
          <w:szCs w:val="20"/>
          <w:color w:val="auto"/>
        </w:rPr>
        <w:t>. The LCA is hereby amended as follows: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25" w:right="339" w:bottom="1440" w:gutter="0" w:footer="0" w:header="0"/>
        </w:sectPr>
      </w:pPr>
    </w:p>
    <w:bookmarkStart w:id="73" w:name="page74"/>
    <w:bookmarkEnd w:id="73"/>
    <w:p>
      <w:pPr>
        <w:ind w:left="1960" w:right="20" w:hanging="446"/>
        <w:spacing w:after="0" w:line="245" w:lineRule="auto"/>
        <w:tabs>
          <w:tab w:leader="none" w:pos="1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1.31 (DS Domain Names), Section 1.34 (DS Know-How), Section 1.45 (Esperion Domain Names), and Section 1.81 (Licensed Products) are hereby deleted in their entirety and replaced with:</w:t>
      </w:r>
    </w:p>
    <w:p>
      <w:pPr>
        <w:spacing w:after="0" w:line="187"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 Domain Names</w:t>
      </w:r>
      <w:r>
        <w:rPr>
          <w:rFonts w:ascii="Times New Roman" w:cs="Times New Roman" w:eastAsia="Times New Roman" w:hAnsi="Times New Roman"/>
          <w:sz w:val="20"/>
          <w:szCs w:val="20"/>
          <w:color w:val="auto"/>
        </w:rPr>
        <w:t>” means any unbranded domain name(s) (but not including domain name(s) containing INNs) mutually agreed to by the Parties in writing to be used or to be protected in connection with the Commercialization of the Licensed Products in the DS Territory.</w:t>
      </w:r>
    </w:p>
    <w:p>
      <w:pPr>
        <w:spacing w:after="0" w:line="17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 Know-How</w:t>
      </w:r>
      <w:r>
        <w:rPr>
          <w:rFonts w:ascii="Times New Roman" w:cs="Times New Roman" w:eastAsia="Times New Roman" w:hAnsi="Times New Roman"/>
          <w:sz w:val="20"/>
          <w:szCs w:val="20"/>
          <w:color w:val="auto"/>
        </w:rPr>
        <w:t>” means Know-How Controlled by DS or any of its Affiliates during the Term, that arises out of the performance of obligations or exercise of rights hereunder, and that is necessary or useful to the Development, Manufacture or Commercialization of the Licensed Products in the Field, including the TC Products Data but excluding Joint Know-How.</w:t>
      </w:r>
    </w:p>
    <w:p>
      <w:pPr>
        <w:spacing w:after="0" w:line="19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Esperion Domain Names</w:t>
      </w:r>
      <w:r>
        <w:rPr>
          <w:rFonts w:ascii="Times New Roman" w:cs="Times New Roman" w:eastAsia="Times New Roman" w:hAnsi="Times New Roman"/>
          <w:sz w:val="20"/>
          <w:szCs w:val="20"/>
          <w:color w:val="auto"/>
        </w:rPr>
        <w:t>” means any unbranded domain name(s) (but not including domain name(s) containing INNs) mutually agreed to by the Parties in writing to be used or to be protected in connection with the Commercialization of the Licensed Products in the DS Territory.</w:t>
      </w:r>
    </w:p>
    <w:p>
      <w:pPr>
        <w:spacing w:after="0" w:line="195"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Licensed Products</w:t>
      </w:r>
      <w:r>
        <w:rPr>
          <w:rFonts w:ascii="Times New Roman" w:cs="Times New Roman" w:eastAsia="Times New Roman" w:hAnsi="Times New Roman"/>
          <w:sz w:val="20"/>
          <w:szCs w:val="20"/>
          <w:color w:val="auto"/>
        </w:rPr>
        <w:t>” means (a) any pharmaceutical agent which includes Bempedoic Acid in any formulation, presentation and strength, including but not limited to the Licensed Product described in Schedule 1.81, and (b) any pharmaceutical agent that is a combination of Bempedoic Acid, Ezetimibe and a Statin, as its sole active ingredients, in any formulation, presentation and strength (a “</w:t>
      </w:r>
      <w:r>
        <w:rPr>
          <w:rFonts w:ascii="Times New Roman" w:cs="Times New Roman" w:eastAsia="Times New Roman" w:hAnsi="Times New Roman"/>
          <w:sz w:val="21"/>
          <w:szCs w:val="21"/>
          <w:b w:val="1"/>
          <w:bCs w:val="1"/>
          <w:color w:val="auto"/>
        </w:rPr>
        <w:t>Triple Combination Product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TC Product</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ind w:left="1960" w:hanging="50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terms are added to Section 1 (Definitions):</w:t>
      </w:r>
    </w:p>
    <w:p>
      <w:pPr>
        <w:spacing w:after="0" w:line="211"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0"/>
          <w:szCs w:val="20"/>
          <w:color w:val="auto"/>
        </w:rPr>
        <w:t>” means any day other than (a) Saturday or Sunday, (b) any other day on which national banks in Ann Arbor, Michigan are generally permitted or required to be closed, (c) any other day on which national banks in Japan are generally permitted or required to be closed, or (d) the thirteen (13) consecutive days beginning on December 24th and continuing through January 4th to the extent not already covered in (a), (b) or (c).</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DS Supply Agreement</w:t>
      </w:r>
      <w:r>
        <w:rPr>
          <w:rFonts w:ascii="Times New Roman" w:cs="Times New Roman" w:eastAsia="Times New Roman" w:hAnsi="Times New Roman"/>
          <w:sz w:val="20"/>
          <w:szCs w:val="20"/>
          <w:color w:val="auto"/>
        </w:rPr>
        <w:t>” has the meaning set forth in Section 5.1 (Licensed Products Other than TC Products).</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Esperion Assistance</w:t>
      </w:r>
      <w:r>
        <w:rPr>
          <w:rFonts w:ascii="Times New Roman" w:cs="Times New Roman" w:eastAsia="Times New Roman" w:hAnsi="Times New Roman"/>
          <w:sz w:val="20"/>
          <w:szCs w:val="20"/>
          <w:color w:val="auto"/>
        </w:rPr>
        <w:t xml:space="preserve">” has the meaning set forth in Section 2.1.1(b) </w:t>
      </w:r>
      <w:r>
        <w:rPr>
          <w:rFonts w:ascii="Times New Roman" w:cs="Times New Roman" w:eastAsia="Times New Roman" w:hAnsi="Times New Roman"/>
          <w:sz w:val="21"/>
          <w:szCs w:val="21"/>
          <w:color w:val="auto"/>
        </w:rPr>
        <w:t>(TC Products Development)</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jc w:val="both"/>
        <w:ind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Ezetimibe</w:t>
      </w:r>
      <w:r>
        <w:rPr>
          <w:rFonts w:ascii="Times New Roman" w:cs="Times New Roman" w:eastAsia="Times New Roman" w:hAnsi="Times New Roman"/>
          <w:sz w:val="20"/>
          <w:szCs w:val="20"/>
          <w:color w:val="auto"/>
        </w:rPr>
        <w:t>” means the azetidinone derivative having the chemical formula (1-(4-fluorophenyl)-(3R)-[3-(4-fluorophenyl)-(3S)-hydroxypropyl]-(4S)-(4-hydroxyphenyl)-2-azetidinone).</w:t>
      </w:r>
    </w:p>
    <w:p>
      <w:pPr>
        <w:spacing w:after="0" w:line="152" w:lineRule="exact"/>
        <w:rPr>
          <w:sz w:val="20"/>
          <w:szCs w:val="20"/>
          <w:color w:val="auto"/>
        </w:rPr>
      </w:pPr>
    </w:p>
    <w:p>
      <w:pPr>
        <w:jc w:val="both"/>
        <w:ind w:right="20"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Hourly Cost</w:t>
      </w:r>
      <w:r>
        <w:rPr>
          <w:rFonts w:ascii="Times New Roman" w:cs="Times New Roman" w:eastAsia="Times New Roman" w:hAnsi="Times New Roman"/>
          <w:sz w:val="20"/>
          <w:szCs w:val="20"/>
          <w:color w:val="auto"/>
        </w:rPr>
        <w:t>” means the Hourly Rate multiplied by the number of hours, or portion thereof, actually spent by Esperion’s employees in performing the assistance contemplated under Section 2.1.1(b) (TC Products Development).</w:t>
      </w:r>
    </w:p>
    <w:p>
      <w:pPr>
        <w:spacing w:after="0" w:line="165"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Hourly Rate</w:t>
      </w:r>
      <w:r>
        <w:rPr>
          <w:rFonts w:ascii="Times New Roman" w:cs="Times New Roman" w:eastAsia="Times New Roman" w:hAnsi="Times New Roman"/>
          <w:sz w:val="20"/>
          <w:szCs w:val="20"/>
          <w:color w:val="auto"/>
        </w:rPr>
        <w:t xml:space="preserve">” means, for the first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hours of work performed by Esperion employees,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U.S. dollars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per hour, and after such first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hours of work, until such time as the Parties agree otherwise,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U.S. dollars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per hour, subject to annual increases beginning on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to reflect percentage increase in the Consumer Price Index for the US City Average, calculated by the Bureau of Labor Statistics during the immediately preceding Calendar Year and similarly calculated year to year increases each subsequent Calendar Year.</w:t>
      </w:r>
    </w:p>
    <w:p>
      <w:pPr>
        <w:sectPr>
          <w:pgSz w:w="11900" w:h="16838" w:orient="portrait"/>
          <w:cols w:equalWidth="0" w:num="1">
            <w:col w:w="11240"/>
          </w:cols>
          <w:pgMar w:left="320" w:top="1426" w:right="339" w:bottom="1440" w:gutter="0" w:footer="0" w:header="0"/>
        </w:sectPr>
      </w:pPr>
    </w:p>
    <w:bookmarkStart w:id="74" w:name="page75"/>
    <w:bookmarkEnd w:id="74"/>
    <w:p>
      <w:pPr>
        <w:spacing w:after="0" w:line="208" w:lineRule="exact"/>
        <w:rPr>
          <w:sz w:val="20"/>
          <w:szCs w:val="20"/>
          <w:color w:val="auto"/>
        </w:rPr>
      </w:pPr>
    </w:p>
    <w:p>
      <w:pPr>
        <w:ind w:firstLine="1944"/>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Launch</w:t>
      </w:r>
      <w:r>
        <w:rPr>
          <w:rFonts w:ascii="Times New Roman" w:cs="Times New Roman" w:eastAsia="Times New Roman" w:hAnsi="Times New Roman"/>
          <w:sz w:val="20"/>
          <w:szCs w:val="20"/>
          <w:color w:val="auto"/>
        </w:rPr>
        <w:t>” means, for a Licensed Product in the DS Territory, the anticipated date of the First Commercial Sale for such Licensed Product in the DS Territory as determined by DS or any of its Related Parties.</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Statin</w:t>
      </w:r>
      <w:r>
        <w:rPr>
          <w:rFonts w:ascii="Times New Roman" w:cs="Times New Roman" w:eastAsia="Times New Roman" w:hAnsi="Times New Roman"/>
          <w:sz w:val="20"/>
          <w:szCs w:val="20"/>
          <w:color w:val="auto"/>
        </w:rPr>
        <w:t>” means an HMG-CoA reductase inhibitor for the reduction of low-density lipoprotein (LDL) cholesterol.</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TC Products Data</w:t>
      </w:r>
      <w:r>
        <w:rPr>
          <w:rFonts w:ascii="Times New Roman" w:cs="Times New Roman" w:eastAsia="Times New Roman" w:hAnsi="Times New Roman"/>
          <w:sz w:val="20"/>
          <w:szCs w:val="20"/>
          <w:color w:val="auto"/>
        </w:rPr>
        <w:t>” has the meaning set forth in Section 12.1.2 (a) (Ownership).</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 has the meaning set forth in Section 2.1.1(a) (TC Products Development).</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Technology Transfer Agreement</w:t>
      </w:r>
      <w:r>
        <w:rPr>
          <w:rFonts w:ascii="Times New Roman" w:cs="Times New Roman" w:eastAsia="Times New Roman" w:hAnsi="Times New Roman"/>
          <w:sz w:val="20"/>
          <w:szCs w:val="20"/>
          <w:color w:val="auto"/>
        </w:rPr>
        <w:t>” has the meaning set forth in Section 5.1 (Licensed Products other than TC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w:t>
      </w:r>
    </w:p>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Triple Combination Product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TC Product</w:t>
      </w:r>
      <w:r>
        <w:rPr>
          <w:rFonts w:ascii="Times New Roman" w:cs="Times New Roman" w:eastAsia="Times New Roman" w:hAnsi="Times New Roman"/>
          <w:sz w:val="20"/>
          <w:szCs w:val="20"/>
          <w:color w:val="auto"/>
        </w:rPr>
        <w:t>” has the meaning set forth in Section 1.81(b) (Licensed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w:t>
      </w:r>
    </w:p>
    <w:p>
      <w:pPr>
        <w:spacing w:after="0" w:line="234"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Development</w:t>
      </w:r>
    </w:p>
    <w:p>
      <w:pPr>
        <w:spacing w:after="0" w:line="233" w:lineRule="exact"/>
        <w:rPr>
          <w:rFonts w:ascii="Times New Roman" w:cs="Times New Roman" w:eastAsia="Times New Roman" w:hAnsi="Times New Roman"/>
          <w:sz w:val="22"/>
          <w:szCs w:val="22"/>
          <w:color w:val="auto"/>
        </w:rPr>
      </w:pPr>
    </w:p>
    <w:p>
      <w:pPr>
        <w:jc w:val="both"/>
        <w:ind w:left="1960" w:hanging="446"/>
        <w:spacing w:after="0" w:line="236" w:lineRule="auto"/>
        <w:tabs>
          <w:tab w:leader="none" w:pos="19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hereby added as a new Section 2.1.1 and current Sections 2.1.1 (Overview), 2.1.2 (Development in South Korea and Taiwan), 2.1.3 (Development Plans), 2.1.4 (Performance), 2.1.5 (Development Costs), and 2.1.6 (Records, Reports and Information Sharing) are renumbered as necessary:</w:t>
      </w:r>
    </w:p>
    <w:p>
      <w:pPr>
        <w:spacing w:after="0" w:line="194"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w:t>
      </w:r>
    </w:p>
    <w:p>
      <w:pPr>
        <w:spacing w:after="0" w:line="26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231"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2.1.1(b), DS shall be and remain solely responsible for and have sole decision-making right over,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all Development activities for any TC Product, including any Post- Approval Studies relating to such TC Product, in support of obtaining Regulatory Approval for and Commercializing such TC Product in the DS Territory (the “</w:t>
      </w:r>
      <w:r>
        <w:rPr>
          <w:rFonts w:ascii="Times New Roman" w:cs="Times New Roman" w:eastAsia="Times New Roman" w:hAnsi="Times New Roman"/>
          <w:sz w:val="21"/>
          <w:szCs w:val="21"/>
          <w:b w:val="1"/>
          <w:bCs w:val="1"/>
          <w:color w:val="auto"/>
        </w:rPr>
        <w:t>TC Products Development</w:t>
      </w:r>
      <w:r>
        <w:rPr>
          <w:rFonts w:ascii="Times New Roman" w:cs="Times New Roman" w:eastAsia="Times New Roman" w:hAnsi="Times New Roman"/>
          <w:sz w:val="20"/>
          <w:szCs w:val="20"/>
          <w:color w:val="auto"/>
        </w:rPr>
        <w:t>”). All TC Products Development shall be in DS’s sole discretion, and DS shall have no obligation to perform any TC Products Development.</w:t>
      </w:r>
    </w:p>
    <w:p>
      <w:pPr>
        <w:spacing w:after="0" w:line="204" w:lineRule="exact"/>
        <w:rPr>
          <w:rFonts w:ascii="Times New Roman" w:cs="Times New Roman" w:eastAsia="Times New Roman" w:hAnsi="Times New Roman"/>
          <w:sz w:val="20"/>
          <w:szCs w:val="20"/>
          <w:color w:val="auto"/>
        </w:rPr>
      </w:pPr>
    </w:p>
    <w:p>
      <w:pPr>
        <w:jc w:val="both"/>
        <w:ind w:firstLine="1952"/>
        <w:spacing w:after="0" w:line="251" w:lineRule="auto"/>
        <w:tabs>
          <w:tab w:leader="none" w:pos="2229"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DS will have the right to request reasonable assistance from Esperion in connection with the performance of any activities constituting TC Products Development.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of any such request by DS, the Parties shall discuss in good faith and agree in writing the assistance to be provided by Esperion (including timelines and corresponding budget) (the “</w:t>
      </w:r>
      <w:r>
        <w:rPr>
          <w:rFonts w:ascii="Times New Roman" w:cs="Times New Roman" w:eastAsia="Times New Roman" w:hAnsi="Times New Roman"/>
          <w:sz w:val="21"/>
          <w:szCs w:val="21"/>
          <w:b w:val="1"/>
          <w:bCs w:val="1"/>
          <w:color w:val="auto"/>
        </w:rPr>
        <w:t>Esperion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Assistance</w:t>
      </w:r>
      <w:r>
        <w:rPr>
          <w:rFonts w:ascii="Times New Roman" w:cs="Times New Roman" w:eastAsia="Times New Roman" w:hAnsi="Times New Roman"/>
          <w:sz w:val="19"/>
          <w:szCs w:val="19"/>
          <w:color w:val="auto"/>
        </w:rPr>
        <w:t>”). Promptly following the end of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Esperion will issue to DS an invoice for the amount of Hourly Costs and Out-of-Pocket Costs incurred by or on behalf of Esperion in the performance of the Esperion Assistance in accordance with the budget agreed upon by the Parties. DS will pay to Esperion the undisputed amount of each such invoices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days of DS’s receipt of the applicable invoice.</w:t>
      </w:r>
    </w:p>
    <w:p>
      <w:pPr>
        <w:spacing w:after="0" w:line="200" w:lineRule="exact"/>
        <w:rPr>
          <w:rFonts w:ascii="Times New Roman" w:cs="Times New Roman" w:eastAsia="Times New Roman" w:hAnsi="Times New Roman"/>
          <w:sz w:val="20"/>
          <w:szCs w:val="20"/>
          <w:color w:val="auto"/>
        </w:rPr>
      </w:pPr>
    </w:p>
    <w:p>
      <w:pPr>
        <w:spacing w:after="0" w:line="260" w:lineRule="exact"/>
        <w:rPr>
          <w:rFonts w:ascii="Times New Roman" w:cs="Times New Roman" w:eastAsia="Times New Roman" w:hAnsi="Times New Roman"/>
          <w:sz w:val="20"/>
          <w:szCs w:val="20"/>
          <w:color w:val="auto"/>
        </w:rPr>
      </w:pPr>
    </w:p>
    <w:p>
      <w:pPr>
        <w:ind w:left="1960" w:right="20" w:hanging="506"/>
        <w:spacing w:after="0" w:line="245" w:lineRule="auto"/>
        <w:tabs>
          <w:tab w:leader="none" w:pos="19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each of Section 2.1.2 (Overview) and Section 2.1.3 (Development in South Korea and Taiwan) (each renumbered after giving effect to the amendment</w:t>
      </w:r>
    </w:p>
    <w:p>
      <w:pPr>
        <w:sectPr>
          <w:pgSz w:w="11900" w:h="16838" w:orient="portrait"/>
          <w:cols w:equalWidth="0" w:num="1">
            <w:col w:w="11240"/>
          </w:cols>
          <w:pgMar w:left="320" w:top="1440" w:right="339" w:bottom="1440" w:gutter="0" w:footer="0" w:header="0"/>
        </w:sectPr>
      </w:pPr>
    </w:p>
    <w:bookmarkStart w:id="75" w:name="page76"/>
    <w:bookmarkEnd w:id="75"/>
    <w:p>
      <w:pPr>
        <w:ind w:left="1960"/>
        <w:spacing w:after="0"/>
        <w:rPr>
          <w:sz w:val="20"/>
          <w:szCs w:val="20"/>
          <w:color w:val="auto"/>
        </w:rPr>
      </w:pPr>
      <w:r>
        <w:rPr>
          <w:rFonts w:ascii="Times New Roman" w:cs="Times New Roman" w:eastAsia="Times New Roman" w:hAnsi="Times New Roman"/>
          <w:sz w:val="20"/>
          <w:szCs w:val="20"/>
          <w:color w:val="auto"/>
        </w:rPr>
        <w:t>set forth in Section 2.b.i herein), the term “Licensed Product” excludes any TC Product.</w:t>
      </w:r>
    </w:p>
    <w:p>
      <w:pPr>
        <w:spacing w:after="0" w:line="243" w:lineRule="exact"/>
        <w:rPr>
          <w:sz w:val="20"/>
          <w:szCs w:val="20"/>
          <w:color w:val="auto"/>
        </w:rPr>
      </w:pPr>
    </w:p>
    <w:p>
      <w:pPr>
        <w:ind w:left="1960" w:hanging="566"/>
        <w:spacing w:after="0" w:line="245" w:lineRule="auto"/>
        <w:tabs>
          <w:tab w:leader="none" w:pos="19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last two (2) sentences of Section 2.1.4 (Development Plans) (renumbered after giving effect to the amendment set forth in Section 2.b.i herein) are hereby deleted in its entirety and replaced with the following:</w:t>
      </w:r>
    </w:p>
    <w:p>
      <w:pPr>
        <w:spacing w:after="0" w:line="209" w:lineRule="exact"/>
        <w:rPr>
          <w:sz w:val="20"/>
          <w:szCs w:val="20"/>
          <w:color w:val="auto"/>
        </w:rPr>
      </w:pPr>
    </w:p>
    <w:p>
      <w:pPr>
        <w:jc w:val="both"/>
        <w:ind w:firstLine="1944"/>
        <w:spacing w:after="0" w:line="239" w:lineRule="auto"/>
        <w:rPr>
          <w:sz w:val="20"/>
          <w:szCs w:val="20"/>
          <w:color w:val="auto"/>
        </w:rPr>
      </w:pPr>
      <w:r>
        <w:rPr>
          <w:rFonts w:ascii="Times New Roman" w:cs="Times New Roman" w:eastAsia="Times New Roman" w:hAnsi="Times New Roman"/>
          <w:sz w:val="20"/>
          <w:szCs w:val="20"/>
          <w:color w:val="auto"/>
        </w:rPr>
        <w:t xml:space="preserve">“The initial Development Plan (other than for South Korea and Taiwan) setting forth the Development activities to be undertaken by DS for Licensed Products that are not TC Products to obtain Regulatory Approval therefor in the Field in the DS Territory shall be provided by DS to Esperion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months after the Effective Date. The initial Development Plan for South Korea and Taiwan setting forth the Pre-Approval Clinical Studies for Licensed Products that are not TC Products to be undertaken by Esperion shall be set forth in the Agreed Development Plan in accordance with Section 2.1.2 (Development in South Korea and Taiwan).”</w:t>
      </w:r>
    </w:p>
    <w:p>
      <w:pPr>
        <w:spacing w:after="0" w:line="218" w:lineRule="exact"/>
        <w:rPr>
          <w:sz w:val="20"/>
          <w:szCs w:val="20"/>
          <w:color w:val="auto"/>
        </w:rPr>
      </w:pPr>
    </w:p>
    <w:p>
      <w:pPr>
        <w:ind w:left="1960" w:hanging="554"/>
        <w:spacing w:after="0" w:line="245" w:lineRule="auto"/>
        <w:tabs>
          <w:tab w:leader="none" w:pos="194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2.1.6 (Development Costs) (renumbered after giving effect to the amendment set forth in Section 2.b.i herein) is hereby deleted in its entirety and replaced with the following:</w:t>
      </w:r>
    </w:p>
    <w:p>
      <w:pPr>
        <w:spacing w:after="0" w:line="200" w:lineRule="exact"/>
        <w:rPr>
          <w:sz w:val="20"/>
          <w:szCs w:val="20"/>
          <w:color w:val="auto"/>
        </w:rPr>
      </w:pPr>
    </w:p>
    <w:p>
      <w:pPr>
        <w:ind w:firstLine="1944"/>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2.1.6 </w:t>
      </w:r>
      <w:r>
        <w:rPr>
          <w:rFonts w:ascii="Times New Roman" w:cs="Times New Roman" w:eastAsia="Times New Roman" w:hAnsi="Times New Roman"/>
          <w:sz w:val="21"/>
          <w:szCs w:val="21"/>
          <w:b w:val="1"/>
          <w:bCs w:val="1"/>
          <w:u w:val="single" w:color="auto"/>
          <w:color w:val="auto"/>
        </w:rPr>
        <w:t>Development Costs</w:t>
      </w:r>
      <w:r>
        <w:rPr>
          <w:rFonts w:ascii="Times New Roman" w:cs="Times New Roman" w:eastAsia="Times New Roman" w:hAnsi="Times New Roman"/>
          <w:sz w:val="20"/>
          <w:szCs w:val="20"/>
          <w:color w:val="auto"/>
        </w:rPr>
        <w:t>. DS shall be responsible for all costs and expenses incurred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Development of the Licensed Products in the Field in the DS Territory, except for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Regulatory Matters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446"/>
        <w:spacing w:after="0" w:line="237" w:lineRule="auto"/>
        <w:tabs>
          <w:tab w:leader="none" w:pos="19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each of Section 3.1 (Responsibility for Regulatory Matters), Section 3.2 (Communications with Regulatory Authorities), Section 3.3 (Meetings with Regulatory Authorities), Section 3.5 (Submissions), and, after giving effect to the amendment set forth in Section 2.c.iv herein, Section 3.7 (Regulatory Documentation), Section 3.8 (Technology Transfer), and Section 3.9 (Supply of Stability Study Samples), and each of such Sections’ respective subsections, the term “Licensed Product” excludes any TC Product.</w:t>
      </w:r>
    </w:p>
    <w:p>
      <w:pPr>
        <w:spacing w:after="0" w:line="218" w:lineRule="exact"/>
        <w:rPr>
          <w:rFonts w:ascii="Times New Roman" w:cs="Times New Roman" w:eastAsia="Times New Roman" w:hAnsi="Times New Roman"/>
          <w:sz w:val="22"/>
          <w:szCs w:val="22"/>
          <w:color w:val="auto"/>
        </w:rPr>
      </w:pPr>
    </w:p>
    <w:p>
      <w:pPr>
        <w:ind w:left="1960" w:hanging="506"/>
        <w:spacing w:after="0" w:line="245" w:lineRule="auto"/>
        <w:tabs>
          <w:tab w:leader="none" w:pos="19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last sentence of Section 3.4 (Pricing and Reimbursement Approvals) is hereby deleted in its entirety and replaced with the following:</w:t>
      </w:r>
    </w:p>
    <w:p>
      <w:pPr>
        <w:spacing w:after="0" w:line="195" w:lineRule="exact"/>
        <w:rPr>
          <w:sz w:val="20"/>
          <w:szCs w:val="20"/>
          <w:color w:val="auto"/>
        </w:rPr>
      </w:pPr>
    </w:p>
    <w:p>
      <w:pPr>
        <w:jc w:val="both"/>
        <w:ind w:firstLine="1944"/>
        <w:spacing w:after="0" w:line="239" w:lineRule="auto"/>
        <w:rPr>
          <w:sz w:val="20"/>
          <w:szCs w:val="20"/>
          <w:color w:val="auto"/>
        </w:rPr>
      </w:pPr>
      <w:r>
        <w:rPr>
          <w:rFonts w:ascii="Times New Roman" w:cs="Times New Roman" w:eastAsia="Times New Roman" w:hAnsi="Times New Roman"/>
          <w:sz w:val="20"/>
          <w:szCs w:val="20"/>
          <w:color w:val="auto"/>
        </w:rPr>
        <w:t>“Except with respect to a TC Product, Esperion shall reasonably cooperate with DS in connection therewith, including executing such documents as well as providing access to all necessary data in Esperion’s Control and not previously made available to DS, such as patient-level data, all Regulatory Documentation, publication plan and manuscripts under preparation, support with the necessary data-analyses (bio-statistical analyses), as may be necessary to confirm DS’s rights to prepare, submit, and obtain such Pricing Approvals for the Licensed Product in the DS Territory.”</w:t>
      </w:r>
    </w:p>
    <w:p>
      <w:pPr>
        <w:spacing w:after="0" w:line="218" w:lineRule="exact"/>
        <w:rPr>
          <w:sz w:val="20"/>
          <w:szCs w:val="20"/>
          <w:color w:val="auto"/>
        </w:rPr>
      </w:pPr>
    </w:p>
    <w:p>
      <w:pPr>
        <w:ind w:left="1960" w:hanging="566"/>
        <w:spacing w:after="0" w:line="245" w:lineRule="auto"/>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last sentence of Section 3.7 (Regulatory Documentation), after giving effect to the amendment set forth in Section 2.c.iv herein), is hereby deleted in its entirety and replaced with the following:</w:t>
      </w:r>
    </w:p>
    <w:p>
      <w:pPr>
        <w:spacing w:after="0" w:line="209" w:lineRule="exact"/>
        <w:rPr>
          <w:sz w:val="20"/>
          <w:szCs w:val="20"/>
          <w:color w:val="auto"/>
        </w:rPr>
      </w:pPr>
    </w:p>
    <w:p>
      <w:pPr>
        <w:ind w:firstLine="1944"/>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after the Effective Date, with respect to the eCTD for the Licensed Products other than the TC Products, Esperion shall provide to DS a</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47" w:lineRule="auto"/>
        <w:rPr>
          <w:sz w:val="20"/>
          <w:szCs w:val="20"/>
          <w:color w:val="auto"/>
        </w:rPr>
      </w:pPr>
      <w:r>
        <w:rPr>
          <w:rFonts w:ascii="Times New Roman" w:cs="Times New Roman" w:eastAsia="Times New Roman" w:hAnsi="Times New Roman"/>
          <w:sz w:val="20"/>
          <w:szCs w:val="20"/>
          <w:color w:val="auto"/>
        </w:rPr>
        <w:t>copy of such eCTD (but for clarity not including portions included within the DMF) existing as of the Effective Date and thereafter Esperion shall provide a copy of the updated eCTD for the Licensed Products other than the TC Products following submission of the global cardiovascular outcomes trial (CVOT) data to the European Medicines Agency.”</w:t>
      </w:r>
    </w:p>
    <w:p>
      <w:pPr>
        <w:spacing w:after="0" w:line="208" w:lineRule="exact"/>
        <w:rPr>
          <w:sz w:val="20"/>
          <w:szCs w:val="20"/>
          <w:color w:val="auto"/>
        </w:rPr>
      </w:pPr>
    </w:p>
    <w:p>
      <w:pPr>
        <w:jc w:val="both"/>
        <w:ind w:left="1960" w:hanging="554"/>
        <w:spacing w:after="0" w:line="242" w:lineRule="auto"/>
        <w:tabs>
          <w:tab w:leader="none" w:pos="194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hereby added as a new Section 3.6 and current Sections 3.6 (Regulatory Documentation), 3.7 (Technology Transfer), 3.8 (Supply of Stability Study Samples), 3.9 (Right of Reference), 3.10 (Pharmacovigilance), and 3.11 (Inspection) are renumbered as necessary.</w:t>
      </w:r>
    </w:p>
    <w:p>
      <w:pPr>
        <w:spacing w:after="0" w:line="190"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3.6 </w:t>
      </w:r>
      <w:r>
        <w:rPr>
          <w:rFonts w:ascii="Times New Roman" w:cs="Times New Roman" w:eastAsia="Times New Roman" w:hAnsi="Times New Roman"/>
          <w:sz w:val="21"/>
          <w:szCs w:val="21"/>
          <w:b w:val="1"/>
          <w:bCs w:val="1"/>
          <w:color w:val="auto"/>
        </w:rPr>
        <w:t>TC Products Regulatory Matters</w:t>
      </w:r>
      <w:r>
        <w:rPr>
          <w:rFonts w:ascii="Times New Roman" w:cs="Times New Roman" w:eastAsia="Times New Roman" w:hAnsi="Times New Roman"/>
          <w:sz w:val="20"/>
          <w:szCs w:val="20"/>
          <w:color w:val="auto"/>
        </w:rPr>
        <w:t>.</w:t>
      </w:r>
    </w:p>
    <w:p>
      <w:pPr>
        <w:spacing w:after="0" w:line="248" w:lineRule="exact"/>
        <w:rPr>
          <w:rFonts w:ascii="Times New Roman" w:cs="Times New Roman" w:eastAsia="Times New Roman" w:hAnsi="Times New Roman"/>
          <w:sz w:val="22"/>
          <w:szCs w:val="22"/>
          <w:color w:val="auto"/>
        </w:rPr>
      </w:pPr>
    </w:p>
    <w:p>
      <w:pPr>
        <w:jc w:val="both"/>
        <w:ind w:firstLine="2600"/>
        <w:spacing w:after="0" w:line="251" w:lineRule="auto"/>
        <w:tabs>
          <w:tab w:leader="none" w:pos="286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Responsibility for Regulatory Matters and Ownership of Regulatory Filings for TC Products</w:t>
      </w:r>
      <w:r>
        <w:rPr>
          <w:rFonts w:ascii="Times New Roman" w:cs="Times New Roman" w:eastAsia="Times New Roman" w:hAnsi="Times New Roman"/>
          <w:sz w:val="19"/>
          <w:szCs w:val="19"/>
          <w:color w:val="auto"/>
        </w:rPr>
        <w:t>. 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will be solely responsible,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for all regulatory matters involving the TC Products in each jurisdiction in the DS Territory (as determined on a regulatory jurisdiction by-regulatory jurisdiction basis), including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DS will own all Regulatory Approvals and related Regulatory Documentation submitted to any Regulatory Authority for any TC Product in the DS Territory.</w:t>
      </w:r>
    </w:p>
    <w:p>
      <w:pPr>
        <w:spacing w:after="0" w:line="188" w:lineRule="exact"/>
        <w:rPr>
          <w:rFonts w:ascii="Times New Roman" w:cs="Times New Roman" w:eastAsia="Times New Roman" w:hAnsi="Times New Roman"/>
          <w:sz w:val="20"/>
          <w:szCs w:val="20"/>
          <w:color w:val="auto"/>
        </w:rPr>
      </w:pPr>
    </w:p>
    <w:p>
      <w:pPr>
        <w:jc w:val="both"/>
        <w:ind w:firstLine="2600"/>
        <w:spacing w:after="0" w:line="249" w:lineRule="auto"/>
        <w:tabs>
          <w:tab w:leader="none" w:pos="2877"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Communications with Regulatory Authorities involving TC Products</w:t>
      </w:r>
      <w:r>
        <w:rPr>
          <w:rFonts w:ascii="Times New Roman" w:cs="Times New Roman" w:eastAsia="Times New Roman" w:hAnsi="Times New Roman"/>
          <w:sz w:val="19"/>
          <w:szCs w:val="19"/>
          <w:color w:val="auto"/>
        </w:rPr>
        <w:t>. DS will own and respond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all communications with each Regulatory Authority in the DS Territory involving the TC Products.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Business Days after receipt of any Material Communication from such Regulatory Authority involving any TC Product (including any in-person meeting such Regulatory Authority), DS will provide Esperion with a brief written description, in English, of the principal issues raised in such Material Communication with such Regulatory Authority. Upon Esperion’s reasonable request after receiving a notice from DS in accordance with the immediately preceding sentence, DS will translate such Material Communication and provide to Esperion complete copies of such correspondence or meeting minutes, as applicable, of any such translated Material Communication within a reasonable period of time.</w:t>
      </w:r>
    </w:p>
    <w:p>
      <w:pPr>
        <w:spacing w:after="0" w:line="204" w:lineRule="exact"/>
        <w:rPr>
          <w:rFonts w:ascii="Times New Roman" w:cs="Times New Roman" w:eastAsia="Times New Roman" w:hAnsi="Times New Roman"/>
          <w:sz w:val="20"/>
          <w:szCs w:val="20"/>
          <w:color w:val="auto"/>
        </w:rPr>
      </w:pPr>
    </w:p>
    <w:p>
      <w:pPr>
        <w:jc w:val="both"/>
        <w:ind w:firstLine="2600"/>
        <w:spacing w:after="0" w:line="247" w:lineRule="auto"/>
        <w:tabs>
          <w:tab w:leader="none" w:pos="2893"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Submissions to Regulatory Authorities involving TC Products</w:t>
      </w:r>
      <w:r>
        <w:rPr>
          <w:rFonts w:ascii="Times New Roman" w:cs="Times New Roman" w:eastAsia="Times New Roman" w:hAnsi="Times New Roman"/>
          <w:sz w:val="19"/>
          <w:szCs w:val="19"/>
          <w:color w:val="auto"/>
        </w:rPr>
        <w:t>. As determined on a 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jurisdiction-byregulatory jurisdiction basis in the DS Territory, with respect to each TC Product, DS will own and control all submissions to Regulatory Authorities in the DS Territory involving the TC Products. With respect to each TC Product, DS will notify Esperion about each of the following events in the DS Territory: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Without limiting the foregoing, DS will allow Esperion a reasonable opportunity to review and comment on all filings and other submissions to Regulatory Authorities or other Governmental Authorities in the DS Territory for a TC Product and for that purpose DS shall provide English versions of such filings and other submissions to Esperion in advance of submitting any such filings and other submissions (such as, but not limited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DS will consider all comments timely provided by Esperion in connection therewith and accept such comments if reasonable;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20"/>
          <w:szCs w:val="20"/>
          <w:color w:val="auto"/>
        </w:rPr>
      </w:pPr>
    </w:p>
    <w:p>
      <w:pPr>
        <w:jc w:val="both"/>
        <w:ind w:firstLine="1952"/>
        <w:spacing w:after="0" w:line="246" w:lineRule="auto"/>
        <w:tabs>
          <w:tab w:leader="none" w:pos="225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Esperion Regulatory Assistance</w:t>
      </w:r>
      <w:r>
        <w:rPr>
          <w:rFonts w:ascii="Times New Roman" w:cs="Times New Roman" w:eastAsia="Times New Roman" w:hAnsi="Times New Roman"/>
          <w:sz w:val="19"/>
          <w:szCs w:val="19"/>
          <w:color w:val="auto"/>
        </w:rPr>
        <w:t>. DS will have the right to request reasonable support and assistance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Esperion in connection with developing answers to questions and advice sought by DS in connection with regulatory matters involving any TC Product in the DS Territory, including with respect to communications with and submissions to Regulatory Authorities. Following any such request by DS, Esperion agrees to use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to provide such reasonable regulatory support and assistance to DS. Promptly following the end of each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during which Esperion or any of its Affiliate have provided any such support or assistance to DS, Esperion will issue to DS an invoice for the amount of Hourly Costs and Out-of-Pocket Costs incurred by or on behalf of Esperion in the</w:t>
      </w:r>
    </w:p>
    <w:p>
      <w:pPr>
        <w:sectPr>
          <w:pgSz w:w="11900" w:h="16838" w:orient="portrait"/>
          <w:cols w:equalWidth="0" w:num="1">
            <w:col w:w="11240"/>
          </w:cols>
          <w:pgMar w:left="320" w:top="1413" w:right="339" w:bottom="1440" w:gutter="0" w:footer="0" w:header="0"/>
        </w:sectPr>
      </w:pPr>
    </w:p>
    <w:bookmarkStart w:id="77" w:name="page78"/>
    <w:bookmarkEnd w:id="77"/>
    <w:p>
      <w:pPr>
        <w:spacing w:after="0" w:line="269" w:lineRule="auto"/>
        <w:rPr>
          <w:sz w:val="20"/>
          <w:szCs w:val="20"/>
          <w:color w:val="auto"/>
        </w:rPr>
      </w:pPr>
      <w:r>
        <w:rPr>
          <w:rFonts w:ascii="Times New Roman" w:cs="Times New Roman" w:eastAsia="Times New Roman" w:hAnsi="Times New Roman"/>
          <w:sz w:val="20"/>
          <w:szCs w:val="20"/>
          <w:color w:val="auto"/>
        </w:rPr>
        <w:t xml:space="preserve">performance of such activities. DS will pay to Esperion the undisputed amount of each such invoices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of DS’s receipt of the applicable invoice.</w:t>
      </w:r>
    </w:p>
    <w:p>
      <w:pPr>
        <w:spacing w:after="0" w:line="186" w:lineRule="exact"/>
        <w:rPr>
          <w:sz w:val="20"/>
          <w:szCs w:val="20"/>
          <w:color w:val="auto"/>
        </w:rPr>
      </w:pPr>
    </w:p>
    <w:p>
      <w:pPr>
        <w:ind w:left="1300" w:hanging="320"/>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Commercialization.</w:t>
      </w:r>
    </w:p>
    <w:p>
      <w:pPr>
        <w:spacing w:after="0" w:line="214"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Section 4.1.3 (DS Commercial Diligence) is hereby deleted in its entirety and replaced with the following:</w:t>
      </w:r>
    </w:p>
    <w:p>
      <w:pPr>
        <w:spacing w:after="0" w:line="233"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4.1.3. </w:t>
      </w:r>
      <w:r>
        <w:rPr>
          <w:rFonts w:ascii="Times New Roman" w:cs="Times New Roman" w:eastAsia="Times New Roman" w:hAnsi="Times New Roman"/>
          <w:sz w:val="20"/>
          <w:szCs w:val="20"/>
          <w:u w:val="single" w:color="auto"/>
          <w:color w:val="auto"/>
        </w:rPr>
        <w:t>DS Commercial Diligence</w:t>
      </w:r>
      <w:r>
        <w:rPr>
          <w:rFonts w:ascii="Times New Roman" w:cs="Times New Roman" w:eastAsia="Times New Roman" w:hAnsi="Times New Roman"/>
          <w:sz w:val="19"/>
          <w:szCs w:val="19"/>
          <w:color w:val="auto"/>
        </w:rPr>
        <w:t>. DS will use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Commercialize each Licensed Product that is not a TC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in the Field in the DS Territory. DS shall conduct all Commercialization activities for each Licensed Product that is not a TC Product in accordance with the applicable DS Territory Commercialization Plan and in compliance with applicable Laws and this Agreement.</w:t>
      </w:r>
    </w:p>
    <w:p>
      <w:pPr>
        <w:spacing w:after="0" w:line="177" w:lineRule="exact"/>
        <w:rPr>
          <w:sz w:val="20"/>
          <w:szCs w:val="20"/>
          <w:color w:val="auto"/>
        </w:rPr>
      </w:pPr>
    </w:p>
    <w:p>
      <w:pPr>
        <w:ind w:left="1960" w:hanging="506"/>
        <w:spacing w:after="0" w:line="245" w:lineRule="auto"/>
        <w:tabs>
          <w:tab w:leader="none" w:pos="1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first two (2) sentences of Section 4.2.1 (Initial Commercialization Plan) are hereby deleted in their entirety and replaced with the following:</w:t>
      </w:r>
    </w:p>
    <w:p>
      <w:pPr>
        <w:spacing w:after="0" w:line="209" w:lineRule="exact"/>
        <w:rPr>
          <w:sz w:val="20"/>
          <w:szCs w:val="20"/>
          <w:color w:val="auto"/>
        </w:rPr>
      </w:pPr>
    </w:p>
    <w:p>
      <w:pPr>
        <w:jc w:val="both"/>
        <w:ind w:firstLine="1944"/>
        <w:spacing w:after="0" w:line="244" w:lineRule="auto"/>
        <w:rPr>
          <w:sz w:val="20"/>
          <w:szCs w:val="20"/>
          <w:color w:val="auto"/>
        </w:rPr>
      </w:pPr>
      <w:r>
        <w:rPr>
          <w:rFonts w:ascii="Times New Roman" w:cs="Times New Roman" w:eastAsia="Times New Roman" w:hAnsi="Times New Roman"/>
          <w:sz w:val="20"/>
          <w:szCs w:val="20"/>
          <w:color w:val="auto"/>
        </w:rPr>
        <w:t>“DS shall deliver to the JCC an initial written plan setting forth a summary of the anticipated activities to be undertaken by or on behalf of DS in connection with the Commercialization of such Licensed Product in the DS Territory (each, a “</w:t>
      </w:r>
      <w:r>
        <w:rPr>
          <w:rFonts w:ascii="Times New Roman" w:cs="Times New Roman" w:eastAsia="Times New Roman" w:hAnsi="Times New Roman"/>
          <w:sz w:val="21"/>
          <w:szCs w:val="21"/>
          <w:b w:val="1"/>
          <w:bCs w:val="1"/>
          <w:color w:val="auto"/>
        </w:rPr>
        <w:t>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Territory Commercialization Plan</w:t>
      </w:r>
      <w:r>
        <w:rPr>
          <w:rFonts w:ascii="Times New Roman" w:cs="Times New Roman" w:eastAsia="Times New Roman" w:hAnsi="Times New Roman"/>
          <w:sz w:val="19"/>
          <w:szCs w:val="19"/>
          <w:color w:val="auto"/>
        </w:rPr>
        <w:t>”), excluding any information relating to pricing or reimbursement submissions or pricing dossiers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 xml:space="preserve">(including Pricing and Reimbursement Approvals): (a) with respect to a Licensed Product other than a TC Product, no later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days prior to Launch of such Licensed Product, or (b) with respect to a TC Product, promptly following DS’s finalization of the DS Territory Commercialization Plan for such TC Product prior to Launch of such TC Product. Each DS Territory Commercialization Plan shall provide an outline of the Commercialization activities for each Licensed Product in the DS Territory, including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Manufacture and Supply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hanging="446"/>
        <w:spacing w:after="0" w:line="235" w:lineRule="auto"/>
        <w:tabs>
          <w:tab w:leader="none" w:pos="19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Sections 5.1 (Licensed Products), 5.2 (Back-Up Manufacturing Right), 5.3 (Delivery Terms) and 5.4 (Quality Agreement) (and all subsections thereto) are hereby deleted in their entirety and replaced with the following:</w:t>
      </w:r>
    </w:p>
    <w:p>
      <w:pPr>
        <w:spacing w:after="0" w:line="207"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1"/>
          <w:szCs w:val="21"/>
          <w:b w:val="1"/>
          <w:bCs w:val="1"/>
          <w:color w:val="auto"/>
        </w:rPr>
        <w:t>Licensed Products other than TC Products</w:t>
      </w:r>
      <w:r>
        <w:rPr>
          <w:rFonts w:ascii="Times New Roman" w:cs="Times New Roman" w:eastAsia="Times New Roman" w:hAnsi="Times New Roman"/>
          <w:sz w:val="20"/>
          <w:szCs w:val="20"/>
          <w:color w:val="auto"/>
        </w:rPr>
        <w:t>. Esperion and DS are parties to that certain Manufacturing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Agreement, dated and effective as of July 27, 2021 (the “</w:t>
      </w:r>
      <w:r>
        <w:rPr>
          <w:rFonts w:ascii="Times New Roman" w:cs="Times New Roman" w:eastAsia="Times New Roman" w:hAnsi="Times New Roman"/>
          <w:sz w:val="21"/>
          <w:szCs w:val="21"/>
          <w:b w:val="1"/>
          <w:bCs w:val="1"/>
          <w:color w:val="auto"/>
        </w:rPr>
        <w:t>DS Supply Agreement</w:t>
      </w:r>
      <w:r>
        <w:rPr>
          <w:rFonts w:ascii="Times New Roman" w:cs="Times New Roman" w:eastAsia="Times New Roman" w:hAnsi="Times New Roman"/>
          <w:sz w:val="20"/>
          <w:szCs w:val="20"/>
          <w:color w:val="auto"/>
        </w:rPr>
        <w:t>”) and (together with Daiichi Sankyo Europe GmbH) that certain Technology Transfer Agreement, dated and effective as of the effective date of the first amendment to this Agreement (the “</w:t>
      </w:r>
      <w:r>
        <w:rPr>
          <w:rFonts w:ascii="Times New Roman" w:cs="Times New Roman" w:eastAsia="Times New Roman" w:hAnsi="Times New Roman"/>
          <w:sz w:val="21"/>
          <w:szCs w:val="21"/>
          <w:b w:val="1"/>
          <w:bCs w:val="1"/>
          <w:color w:val="auto"/>
        </w:rPr>
        <w:t>Technology Transfer Agreement</w:t>
      </w:r>
      <w:r>
        <w:rPr>
          <w:rFonts w:ascii="Times New Roman" w:cs="Times New Roman" w:eastAsia="Times New Roman" w:hAnsi="Times New Roman"/>
          <w:sz w:val="20"/>
          <w:szCs w:val="20"/>
          <w:color w:val="auto"/>
        </w:rPr>
        <w:t>”), which, as between the Parties hereto, govern their respective rights and obligations with respect to the manufacture and supply of bulk drug product form of the Licensed Products (other than TC Products) for Commercialization in the DS Territory.</w:t>
      </w:r>
    </w:p>
    <w:p>
      <w:pPr>
        <w:spacing w:after="0" w:line="207"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1"/>
          <w:szCs w:val="21"/>
          <w:b w:val="1"/>
          <w:bCs w:val="1"/>
          <w:color w:val="auto"/>
        </w:rPr>
        <w:t>TC Products</w:t>
      </w:r>
      <w:r>
        <w:rPr>
          <w:rFonts w:ascii="Times New Roman" w:cs="Times New Roman" w:eastAsia="Times New Roman" w:hAnsi="Times New Roman"/>
          <w:sz w:val="20"/>
          <w:szCs w:val="20"/>
          <w:color w:val="auto"/>
        </w:rPr>
        <w:t>. DS will (a) have the exclusive right and responsibility to Manufacture and supply,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itself or through a Third Party manufacturer, the TC Products for Development and Commercialization thereof by or on behalf of DS in the DS Territory under this Agreement, and (b) be responsible,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for supplying all quantities of the TC Products for use in the performance of activities as part of any Esperion Assistance, as may be applicable. In the event DS desires for Esperion to Manufacture or supply </w:t>
      </w:r>
      <w:r>
        <w:rPr>
          <w:rFonts w:ascii="Times New Roman" w:cs="Times New Roman" w:eastAsia="Times New Roman" w:hAnsi="Times New Roman"/>
          <w:sz w:val="21"/>
          <w:szCs w:val="21"/>
          <w:color w:val="0000FF"/>
        </w:rPr>
        <w:t>bulk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drug product form of </w:t>
      </w:r>
      <w:r>
        <w:rPr>
          <w:rFonts w:ascii="Times New Roman" w:cs="Times New Roman" w:eastAsia="Times New Roman" w:hAnsi="Times New Roman"/>
          <w:sz w:val="19"/>
          <w:szCs w:val="19"/>
          <w:color w:val="000000"/>
        </w:rPr>
        <w:t>any TC Products, the Parties shall use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to negotiate a manufacturing and supply arrangement therefor.</w:t>
      </w:r>
    </w:p>
    <w:p>
      <w:pPr>
        <w:sectPr>
          <w:pgSz w:w="11900" w:h="16838" w:orient="portrait"/>
          <w:cols w:equalWidth="0" w:num="1">
            <w:col w:w="11240"/>
          </w:cols>
          <w:pgMar w:left="320" w:top="1426" w:right="339" w:bottom="1440" w:gutter="0" w:footer="0" w:header="0"/>
        </w:sectPr>
      </w:pPr>
    </w:p>
    <w:bookmarkStart w:id="78" w:name="page79"/>
    <w:bookmarkEnd w:id="78"/>
    <w:p>
      <w:pPr>
        <w:spacing w:after="0" w:line="230" w:lineRule="exact"/>
        <w:rPr>
          <w:sz w:val="20"/>
          <w:szCs w:val="20"/>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JCC Responsibility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hanging="446"/>
        <w:spacing w:after="0"/>
        <w:tabs>
          <w:tab w:leader="none" w:pos="19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used in Section 6.1.1 (Overview), the term “Licensed Product” excludes any TC Product.</w:t>
      </w:r>
    </w:p>
    <w:p>
      <w:pPr>
        <w:spacing w:after="0" w:line="233" w:lineRule="exact"/>
        <w:rPr>
          <w:rFonts w:ascii="Times New Roman" w:cs="Times New Roman" w:eastAsia="Times New Roman" w:hAnsi="Times New Roman"/>
          <w:sz w:val="22"/>
          <w:szCs w:val="22"/>
          <w:color w:val="auto"/>
        </w:rPr>
      </w:pPr>
    </w:p>
    <w:p>
      <w:pPr>
        <w:ind w:left="1960" w:hanging="506"/>
        <w:spacing w:after="0"/>
        <w:tabs>
          <w:tab w:leader="none" w:pos="19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6.1.6 (JCC Responsibilities) is hereby deleted in its entirety and replaced with the following:</w:t>
      </w:r>
    </w:p>
    <w:p>
      <w:pPr>
        <w:spacing w:after="0" w:line="210"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1"/>
          <w:szCs w:val="21"/>
          <w:b w:val="1"/>
          <w:bCs w:val="1"/>
          <w:color w:val="auto"/>
        </w:rPr>
        <w:t>JCC Responsibilities</w:t>
      </w:r>
      <w:r>
        <w:rPr>
          <w:rFonts w:ascii="Times New Roman" w:cs="Times New Roman" w:eastAsia="Times New Roman" w:hAnsi="Times New Roman"/>
          <w:sz w:val="20"/>
          <w:szCs w:val="20"/>
          <w:color w:val="auto"/>
        </w:rPr>
        <w:t>. The JCC shall be limited to the following responsibilities in connection with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21" w:lineRule="exact"/>
        <w:rPr>
          <w:sz w:val="20"/>
          <w:szCs w:val="20"/>
          <w:color w:val="auto"/>
        </w:rPr>
      </w:pPr>
    </w:p>
    <w:p>
      <w:pPr>
        <w:ind w:right="20" w:firstLine="1952"/>
        <w:spacing w:after="0" w:line="269" w:lineRule="auto"/>
        <w:tabs>
          <w:tab w:leader="none" w:pos="228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reviewing and approving the Development Plans and amendments or modifications to the Development Plans for Licensed Products other than TC Products;</w:t>
      </w:r>
    </w:p>
    <w:p>
      <w:pPr>
        <w:spacing w:after="0" w:line="186" w:lineRule="exact"/>
        <w:rPr>
          <w:rFonts w:ascii="Times New Roman" w:cs="Times New Roman" w:eastAsia="Times New Roman" w:hAnsi="Times New Roman"/>
          <w:sz w:val="20"/>
          <w:szCs w:val="20"/>
          <w:color w:val="auto"/>
        </w:rPr>
      </w:pPr>
    </w:p>
    <w:p>
      <w:pPr>
        <w:ind w:left="2240" w:hanging="288"/>
        <w:spacing w:after="0"/>
        <w:tabs>
          <w:tab w:leader="none" w:pos="22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reviewing and approving the Development of new formulations of Licensed Products other than TC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Products;</w:t>
      </w:r>
    </w:p>
    <w:p>
      <w:pPr>
        <w:spacing w:after="0" w:line="234" w:lineRule="exact"/>
        <w:rPr>
          <w:rFonts w:ascii="Times New Roman" w:cs="Times New Roman" w:eastAsia="Times New Roman" w:hAnsi="Times New Roman"/>
          <w:sz w:val="20"/>
          <w:szCs w:val="20"/>
          <w:color w:val="auto"/>
        </w:rPr>
      </w:pPr>
    </w:p>
    <w:p>
      <w:pPr>
        <w:ind w:firstLine="1952"/>
        <w:spacing w:after="0" w:line="269" w:lineRule="auto"/>
        <w:tabs>
          <w:tab w:leader="none" w:pos="223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and reviewing the implementation of the Development Plans for Licensed Products other than TC Products, and reviewing the status and results of such Development Plans;</w:t>
      </w:r>
    </w:p>
    <w:p>
      <w:pPr>
        <w:spacing w:after="0" w:line="186" w:lineRule="exact"/>
        <w:rPr>
          <w:rFonts w:ascii="Times New Roman" w:cs="Times New Roman" w:eastAsia="Times New Roman" w:hAnsi="Times New Roman"/>
          <w:sz w:val="20"/>
          <w:szCs w:val="20"/>
          <w:color w:val="auto"/>
        </w:rPr>
      </w:pPr>
    </w:p>
    <w:p>
      <w:pPr>
        <w:jc w:val="both"/>
        <w:ind w:firstLine="1952"/>
        <w:spacing w:after="0" w:line="239" w:lineRule="auto"/>
        <w:tabs>
          <w:tab w:leader="none" w:pos="222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reviewing and approving Clinical Studies, including post-marketing studies proposed to be sponsored or supported (through supply of Licensed Products other than TC Products) by DS or Esperion (in respect of the Development Pre-Approval Clinical Studies in South Korea and Taiwan), as detailed in Section 2.1.3 (Development in South Korea and Taiwan)), of Licensed Products other than TC Products in the DS Territory, including the approval of the relevant study design or summary of the relevant protocol and related documentation;</w:t>
      </w:r>
    </w:p>
    <w:p>
      <w:pPr>
        <w:spacing w:after="0" w:line="231" w:lineRule="exact"/>
        <w:rPr>
          <w:rFonts w:ascii="Times New Roman" w:cs="Times New Roman" w:eastAsia="Times New Roman" w:hAnsi="Times New Roman"/>
          <w:sz w:val="20"/>
          <w:szCs w:val="20"/>
          <w:color w:val="auto"/>
        </w:rPr>
      </w:pPr>
    </w:p>
    <w:p>
      <w:pPr>
        <w:ind w:firstLine="1952"/>
        <w:spacing w:after="0" w:line="269" w:lineRule="auto"/>
        <w:tabs>
          <w:tab w:leader="none" w:pos="228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and reviewing the status of Licensed Products other than TC Products, including material Development matters in the Esperion Territory and the DS Territory;</w:t>
      </w:r>
    </w:p>
    <w:p>
      <w:pPr>
        <w:spacing w:after="0" w:line="186" w:lineRule="exact"/>
        <w:rPr>
          <w:rFonts w:ascii="Times New Roman" w:cs="Times New Roman" w:eastAsia="Times New Roman" w:hAnsi="Times New Roman"/>
          <w:sz w:val="20"/>
          <w:szCs w:val="20"/>
          <w:color w:val="auto"/>
        </w:rPr>
      </w:pPr>
    </w:p>
    <w:p>
      <w:pPr>
        <w:ind w:left="2200" w:hanging="248"/>
        <w:spacing w:after="0"/>
        <w:tabs>
          <w:tab w:leader="none" w:pos="22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and reviewing the Global Branding Strategy;</w:t>
      </w:r>
    </w:p>
    <w:p>
      <w:pPr>
        <w:spacing w:after="0" w:line="256" w:lineRule="exact"/>
        <w:rPr>
          <w:rFonts w:ascii="Times New Roman" w:cs="Times New Roman" w:eastAsia="Times New Roman" w:hAnsi="Times New Roman"/>
          <w:sz w:val="20"/>
          <w:szCs w:val="20"/>
          <w:color w:val="auto"/>
        </w:rPr>
      </w:pPr>
    </w:p>
    <w:p>
      <w:pPr>
        <w:ind w:right="20" w:firstLine="1952"/>
        <w:spacing w:after="0" w:line="269" w:lineRule="auto"/>
        <w:tabs>
          <w:tab w:leader="none" w:pos="222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and reviewing the DS Territory Commercialization Plans and amendment or modifications to the DS Territory Commercialization Plans;</w:t>
      </w:r>
    </w:p>
    <w:p>
      <w:pPr>
        <w:spacing w:after="0" w:line="186" w:lineRule="exact"/>
        <w:rPr>
          <w:rFonts w:ascii="Times New Roman" w:cs="Times New Roman" w:eastAsia="Times New Roman" w:hAnsi="Times New Roman"/>
          <w:sz w:val="20"/>
          <w:szCs w:val="20"/>
          <w:color w:val="auto"/>
        </w:rPr>
      </w:pPr>
    </w:p>
    <w:p>
      <w:pPr>
        <w:ind w:firstLine="1952"/>
        <w:spacing w:after="0" w:line="269" w:lineRule="auto"/>
        <w:tabs>
          <w:tab w:leader="none" w:pos="222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representative samples of DS Territory Promotional Materials developed for use in the DS Territory as provided in Section 4.3.2 (DS Advertising &amp; Promotional Materials);</w:t>
      </w:r>
    </w:p>
    <w:p>
      <w:pPr>
        <w:spacing w:after="0" w:line="199" w:lineRule="exact"/>
        <w:rPr>
          <w:rFonts w:ascii="Times New Roman" w:cs="Times New Roman" w:eastAsia="Times New Roman" w:hAnsi="Times New Roman"/>
          <w:sz w:val="20"/>
          <w:szCs w:val="20"/>
          <w:color w:val="auto"/>
        </w:rPr>
      </w:pPr>
    </w:p>
    <w:p>
      <w:pPr>
        <w:ind w:left="2240" w:hanging="288"/>
        <w:spacing w:after="0"/>
        <w:tabs>
          <w:tab w:leader="none" w:pos="22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reviewing and approving Trademarks for the DS Territory pursuant to Section 4.3.4 (Product</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w:t>
      </w:r>
    </w:p>
    <w:p>
      <w:pPr>
        <w:spacing w:after="0" w:line="234" w:lineRule="exact"/>
        <w:rPr>
          <w:rFonts w:ascii="Times New Roman" w:cs="Times New Roman" w:eastAsia="Times New Roman" w:hAnsi="Times New Roman"/>
          <w:sz w:val="20"/>
          <w:szCs w:val="20"/>
          <w:color w:val="auto"/>
        </w:rPr>
      </w:pPr>
    </w:p>
    <w:p>
      <w:pPr>
        <w:ind w:firstLine="1952"/>
        <w:spacing w:after="0" w:line="269" w:lineRule="auto"/>
        <w:tabs>
          <w:tab w:leader="none" w:pos="22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 publication strategy pursuant to which the Parties may publish certain key results achieved in connection with this Agreement as provided in Section 7.2.1 (Publication);</w:t>
      </w:r>
    </w:p>
    <w:p>
      <w:pPr>
        <w:sectPr>
          <w:pgSz w:w="11900" w:h="16838" w:orient="portrait"/>
          <w:cols w:equalWidth="0" w:num="1">
            <w:col w:w="11240"/>
          </w:cols>
          <w:pgMar w:left="320" w:top="1440" w:right="339" w:bottom="1440" w:gutter="0" w:footer="0" w:header="0"/>
        </w:sectPr>
      </w:pPr>
    </w:p>
    <w:bookmarkStart w:id="79" w:name="page80"/>
    <w:bookmarkEnd w:id="79"/>
    <w:p>
      <w:pPr>
        <w:ind w:left="1960"/>
        <w:spacing w:after="0"/>
        <w:rPr>
          <w:sz w:val="20"/>
          <w:szCs w:val="20"/>
          <w:color w:val="auto"/>
        </w:rPr>
      </w:pPr>
      <w:r>
        <w:rPr>
          <w:rFonts w:ascii="Times New Roman" w:cs="Times New Roman" w:eastAsia="Times New Roman" w:hAnsi="Times New Roman"/>
          <w:sz w:val="20"/>
          <w:szCs w:val="20"/>
          <w:color w:val="auto"/>
        </w:rPr>
        <w:t>(k) overseeing the JCC's subcommittees and ensuring effective participation in each such committee's operations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its members;</w:t>
      </w:r>
    </w:p>
    <w:p>
      <w:pPr>
        <w:spacing w:after="0" w:line="221" w:lineRule="exact"/>
        <w:rPr>
          <w:sz w:val="20"/>
          <w:szCs w:val="20"/>
          <w:color w:val="auto"/>
        </w:rPr>
      </w:pPr>
    </w:p>
    <w:p>
      <w:pPr>
        <w:ind w:right="20" w:firstLine="1952"/>
        <w:spacing w:after="0" w:line="269" w:lineRule="auto"/>
        <w:tabs>
          <w:tab w:leader="none" w:pos="219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any other matters regarding the Development or Manufacturing of Licensed Products other than TC Products referred to the JCC by the terms of this Agreement; and</w:t>
      </w:r>
    </w:p>
    <w:p>
      <w:pPr>
        <w:spacing w:after="0" w:line="199" w:lineRule="exact"/>
        <w:rPr>
          <w:rFonts w:ascii="Times New Roman" w:cs="Times New Roman" w:eastAsia="Times New Roman" w:hAnsi="Times New Roman"/>
          <w:sz w:val="20"/>
          <w:szCs w:val="20"/>
          <w:color w:val="auto"/>
        </w:rPr>
      </w:pPr>
    </w:p>
    <w:p>
      <w:pPr>
        <w:ind w:left="2300" w:hanging="348"/>
        <w:spacing w:after="0"/>
        <w:tabs>
          <w:tab w:leader="none" w:pos="23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such other activities as the Parties agree in writing shall be the responsibility of the JCC.</w:t>
      </w:r>
    </w:p>
    <w:p>
      <w:pPr>
        <w:spacing w:after="0" w:line="256" w:lineRule="exact"/>
        <w:rPr>
          <w:rFonts w:ascii="Times New Roman" w:cs="Times New Roman" w:eastAsia="Times New Roman" w:hAnsi="Times New Roman"/>
          <w:sz w:val="20"/>
          <w:szCs w:val="20"/>
          <w:color w:val="auto"/>
        </w:rPr>
      </w:pPr>
    </w:p>
    <w:p>
      <w:pPr>
        <w:ind w:left="1960" w:hanging="566"/>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6.1.7(c) (Tie-Breaking) is hereby deleted in its entirety and replaced with the following:</w:t>
      </w:r>
    </w:p>
    <w:p>
      <w:pPr>
        <w:spacing w:after="0" w:line="201" w:lineRule="exact"/>
        <w:rPr>
          <w:rFonts w:ascii="Times New Roman" w:cs="Times New Roman" w:eastAsia="Times New Roman" w:hAnsi="Times New Roman"/>
          <w:sz w:val="22"/>
          <w:szCs w:val="22"/>
          <w:color w:val="auto"/>
        </w:rPr>
      </w:pPr>
    </w:p>
    <w:p>
      <w:pPr>
        <w:ind w:left="2220" w:hanging="268"/>
        <w:spacing w:after="0"/>
        <w:tabs>
          <w:tab w:leader="none" w:pos="2220"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u w:val="single" w:color="auto"/>
          <w:color w:val="auto"/>
        </w:rPr>
        <w:t>Tie-Breaking</w:t>
      </w:r>
      <w:r>
        <w:rPr>
          <w:rFonts w:ascii="Times New Roman" w:cs="Times New Roman" w:eastAsia="Times New Roman" w:hAnsi="Times New Roman"/>
          <w:sz w:val="19"/>
          <w:szCs w:val="19"/>
          <w:color w:val="auto"/>
        </w:rPr>
        <w:t>. If a dispute cannot be resolved under Section 6.1.7(b) (Escalation), then:</w:t>
      </w:r>
    </w:p>
    <w:p>
      <w:pPr>
        <w:spacing w:after="0" w:line="251" w:lineRule="exact"/>
        <w:rPr>
          <w:rFonts w:ascii="Times New Roman" w:cs="Times New Roman" w:eastAsia="Times New Roman" w:hAnsi="Times New Roman"/>
          <w:sz w:val="20"/>
          <w:szCs w:val="20"/>
          <w:b w:val="1"/>
          <w:bCs w:val="1"/>
          <w:color w:val="auto"/>
        </w:rPr>
      </w:pPr>
    </w:p>
    <w:p>
      <w:pPr>
        <w:ind w:left="2840" w:hanging="240"/>
        <w:spacing w:after="0"/>
        <w:tabs>
          <w:tab w:leader="none" w:pos="2840" w:val="left"/>
        </w:tabs>
        <w:numPr>
          <w:ilvl w:val="2"/>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Chief Executive Officer of DS or his or her designee shall have the deciding vote if the dispute relates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to (A)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or (B)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w:t>
      </w:r>
    </w:p>
    <w:p>
      <w:pPr>
        <w:spacing w:after="0" w:line="234" w:lineRule="exact"/>
        <w:rPr>
          <w:rFonts w:ascii="Times New Roman" w:cs="Times New Roman" w:eastAsia="Times New Roman" w:hAnsi="Times New Roman"/>
          <w:sz w:val="19"/>
          <w:szCs w:val="19"/>
          <w:color w:val="auto"/>
        </w:rPr>
      </w:pPr>
    </w:p>
    <w:p>
      <w:pPr>
        <w:ind w:left="2900" w:hanging="300"/>
        <w:spacing w:after="0"/>
        <w:tabs>
          <w:tab w:leader="none" w:pos="2900"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Chief Executive Officer of Esperion shall have the deciding vote if the dispute relates to:</w:t>
      </w:r>
    </w:p>
    <w:p>
      <w:pPr>
        <w:spacing w:after="0" w:line="256" w:lineRule="exact"/>
        <w:rPr>
          <w:rFonts w:ascii="Times New Roman" w:cs="Times New Roman" w:eastAsia="Times New Roman" w:hAnsi="Times New Roman"/>
          <w:sz w:val="20"/>
          <w:szCs w:val="20"/>
          <w:color w:val="auto"/>
        </w:rPr>
      </w:pPr>
    </w:p>
    <w:p>
      <w:pPr>
        <w:ind w:left="3420" w:hanging="334"/>
        <w:spacing w:after="0"/>
        <w:tabs>
          <w:tab w:leader="none" w:pos="3420" w:val="left"/>
        </w:tabs>
        <w:numPr>
          <w:ilvl w:val="3"/>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p>
    <w:p>
      <w:pPr>
        <w:spacing w:after="0" w:line="256" w:lineRule="exact"/>
        <w:rPr>
          <w:rFonts w:ascii="Times New Roman" w:cs="Times New Roman" w:eastAsia="Times New Roman" w:hAnsi="Times New Roman"/>
          <w:sz w:val="20"/>
          <w:szCs w:val="20"/>
          <w:color w:val="auto"/>
        </w:rPr>
      </w:pPr>
    </w:p>
    <w:p>
      <w:pPr>
        <w:ind w:left="3400" w:hanging="314"/>
        <w:spacing w:after="0"/>
        <w:tabs>
          <w:tab w:leader="none" w:pos="3400" w:val="left"/>
        </w:tabs>
        <w:numPr>
          <w:ilvl w:val="3"/>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and</w:t>
      </w:r>
    </w:p>
    <w:p>
      <w:pPr>
        <w:spacing w:after="0" w:line="256" w:lineRule="exact"/>
        <w:rPr>
          <w:rFonts w:ascii="Times New Roman" w:cs="Times New Roman" w:eastAsia="Times New Roman" w:hAnsi="Times New Roman"/>
          <w:sz w:val="20"/>
          <w:szCs w:val="20"/>
          <w:color w:val="auto"/>
        </w:rPr>
      </w:pPr>
    </w:p>
    <w:p>
      <w:pPr>
        <w:ind w:left="3400" w:hanging="314"/>
        <w:spacing w:after="0"/>
        <w:tabs>
          <w:tab w:leader="none" w:pos="3400" w:val="left"/>
        </w:tabs>
        <w:numPr>
          <w:ilvl w:val="3"/>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p>
    <w:p>
      <w:pPr>
        <w:spacing w:after="0" w:line="256" w:lineRule="exact"/>
        <w:rPr>
          <w:rFonts w:ascii="Times New Roman" w:cs="Times New Roman" w:eastAsia="Times New Roman" w:hAnsi="Times New Roman"/>
          <w:sz w:val="20"/>
          <w:szCs w:val="20"/>
          <w:color w:val="auto"/>
        </w:rPr>
      </w:pPr>
    </w:p>
    <w:p>
      <w:pPr>
        <w:jc w:val="both"/>
        <w:ind w:firstLine="2600"/>
        <w:spacing w:after="0" w:line="247" w:lineRule="auto"/>
        <w:tabs>
          <w:tab w:leader="none" w:pos="2943"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within the JCC’s responsibilities that cannot be resolved under Section 6.1.7(b) (Escalation) that are not subject to a Party’s deciding vote pursuant to clause (i) or clause (ii) of this Section 6.1.7(c) (Tie-Breaking), shall be subject to the mutual agreement of both Parties and shall not be subject to arbitration or any other form of external dispute resolution.</w:t>
      </w:r>
    </w:p>
    <w:p>
      <w:pPr>
        <w:spacing w:after="0" w:line="208" w:lineRule="exact"/>
        <w:rPr>
          <w:sz w:val="20"/>
          <w:szCs w:val="20"/>
          <w:color w:val="auto"/>
        </w:rPr>
      </w:pPr>
    </w:p>
    <w:p>
      <w:pPr>
        <w:jc w:val="both"/>
        <w:ind w:firstLine="2592"/>
        <w:spacing w:after="0" w:line="237" w:lineRule="auto"/>
        <w:rPr>
          <w:sz w:val="20"/>
          <w:szCs w:val="20"/>
          <w:color w:val="auto"/>
        </w:rPr>
      </w:pPr>
      <w:r>
        <w:rPr>
          <w:rFonts w:ascii="Times New Roman" w:cs="Times New Roman" w:eastAsia="Times New Roman" w:hAnsi="Times New Roman"/>
          <w:sz w:val="20"/>
          <w:szCs w:val="20"/>
          <w:color w:val="auto"/>
        </w:rPr>
        <w:t>For the avoidance of doubt: (a) all matters relating to the Development, Manufacturing and Commercialization of the Licensed Products other than TC Products or of the TC Products, in each case, in the Esperion Territory shall be decided by Esperion and shall not be subject to decision-making by the JCC, and (b) all matters relating to the Development, Manufacturing and Commercialization of the TC Products in the DS Territory shall be decided by DS and shall not be subject to decision-making by the JCC.</w:t>
      </w:r>
    </w:p>
    <w:p>
      <w:pPr>
        <w:spacing w:after="0" w:line="200" w:lineRule="exact"/>
        <w:rPr>
          <w:sz w:val="20"/>
          <w:szCs w:val="20"/>
          <w:color w:val="auto"/>
        </w:rPr>
      </w:pPr>
    </w:p>
    <w:p>
      <w:pPr>
        <w:spacing w:after="0" w:line="271" w:lineRule="exact"/>
        <w:rPr>
          <w:sz w:val="20"/>
          <w:szCs w:val="20"/>
          <w:color w:val="auto"/>
        </w:rPr>
      </w:pPr>
    </w:p>
    <w:p>
      <w:pPr>
        <w:ind w:left="1300" w:hanging="320"/>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Licenses; Retained Rights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Section 8.1.1 (Exclusive License Grant) is hereby deleted in its entirety and replaced with the following:</w:t>
      </w:r>
    </w:p>
    <w:p>
      <w:pPr>
        <w:spacing w:after="0" w:line="247" w:lineRule="exact"/>
        <w:rPr>
          <w:sz w:val="20"/>
          <w:szCs w:val="20"/>
          <w:color w:val="auto"/>
        </w:rPr>
      </w:pPr>
    </w:p>
    <w:p>
      <w:pPr>
        <w:jc w:val="both"/>
        <w:ind w:firstLine="1620"/>
        <w:spacing w:after="0" w:line="249" w:lineRule="auto"/>
        <w:rPr>
          <w:sz w:val="20"/>
          <w:szCs w:val="20"/>
          <w:color w:val="auto"/>
        </w:rPr>
      </w:pPr>
      <w:r>
        <w:rPr>
          <w:rFonts w:ascii="Times New Roman" w:cs="Times New Roman" w:eastAsia="Times New Roman" w:hAnsi="Times New Roman"/>
          <w:sz w:val="20"/>
          <w:szCs w:val="20"/>
          <w:b w:val="1"/>
          <w:bCs w:val="1"/>
          <w:color w:val="auto"/>
        </w:rPr>
        <w:t>8.1.1. Exclusive License Grants</w:t>
      </w:r>
      <w:r>
        <w:rPr>
          <w:rFonts w:ascii="Times New Roman" w:cs="Times New Roman" w:eastAsia="Times New Roman" w:hAnsi="Times New Roman"/>
          <w:sz w:val="20"/>
          <w:szCs w:val="20"/>
          <w:color w:val="auto"/>
        </w:rPr>
        <w:t>. Subject to the terms and conditions of this Agreement, including Section 8.3 (Retained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Esperion hereby grants to DS a non-transferable (except as provided in Section 14.1 (Assignment)), sublicensable (subject to Section 8.1.2 (DS Sublicense</w:t>
      </w:r>
    </w:p>
    <w:p>
      <w:pPr>
        <w:sectPr>
          <w:pgSz w:w="11900" w:h="16838" w:orient="portrait"/>
          <w:cols w:equalWidth="0" w:num="1">
            <w:col w:w="11240"/>
          </w:cols>
          <w:pgMar w:left="320" w:top="1426" w:right="339" w:bottom="1440" w:gutter="0" w:footer="0" w:header="0"/>
        </w:sectPr>
      </w:pPr>
    </w:p>
    <w:bookmarkStart w:id="80" w:name="page81"/>
    <w:bookmarkEnd w:id="80"/>
    <w:p>
      <w:pPr>
        <w:jc w:val="both"/>
        <w:spacing w:after="0" w:line="233" w:lineRule="auto"/>
        <w:rPr>
          <w:sz w:val="20"/>
          <w:szCs w:val="20"/>
          <w:color w:val="auto"/>
        </w:rPr>
      </w:pPr>
      <w:r>
        <w:rPr>
          <w:rFonts w:ascii="Times New Roman" w:cs="Times New Roman" w:eastAsia="Times New Roman" w:hAnsi="Times New Roman"/>
          <w:sz w:val="20"/>
          <w:szCs w:val="20"/>
          <w:color w:val="auto"/>
        </w:rPr>
        <w:t>Rights)), exclusive (even as to Esperion and its Affiliates, except as provided in Section 2.1.2 (Development in South Korea and Taiwan)) license under the Esperion Technology, Esperion’s interest in the Joint Technology, and Esperion Trademarks to: (a) (i) Develop and have Developed the Licensed Products other than TC Products in the Field in the DS Territory (but solely to the extent necessary for DS to conduct the Development activities set forth in the applicable Development Plan in accordance with Section 2.1.4 (Development Plans)), (ii) Commercialize the Licensed Products other than TC Products in the Field in the DS Territory and (iii) Manufacture and have Manufactured the Licensed Products other than TC Products anywhere in the world (excluding Japan) solely for the purpose of Commercializing such Licensed Products other than TC Products in the Field in the DS Territory, and (b) (i) Develop, Manufacture and Commercialize the TC Products in the Field in the DS Territory, (ii) Develop and have Developed the TC Products anywhere in the world (excluding Japan) solely for the purpose of obtaining Regulatory Approval of and Commercializing the TC Products in the Field in the DS Territory, and (iii) Manufacture and have Manufactured the TC Products anywhere in the world (excluding Japan) solely for the purposes of Developing the TC Products for Commercialization in the Field in the DS Territory and Commercializing the TC Products in the Field in the DS Territory. The licenses granted hereunder shall be royalty-bearing for the Royalty Term applicable to each Licensed Product in each country in the DS Territory, and, after the expiration of the Royalty Term applicable to such Licensed Product in such country, shall convert to a fully-paid perpetual license for such Licensed Product in such country.</w:t>
      </w:r>
    </w:p>
    <w:p>
      <w:pPr>
        <w:spacing w:after="0" w:line="236" w:lineRule="exact"/>
        <w:rPr>
          <w:sz w:val="20"/>
          <w:szCs w:val="20"/>
          <w:color w:val="auto"/>
        </w:rPr>
      </w:pPr>
    </w:p>
    <w:p>
      <w:pPr>
        <w:ind w:left="1960" w:hanging="506"/>
        <w:spacing w:after="0"/>
        <w:tabs>
          <w:tab w:leader="none" w:pos="19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8.4 (Retained Rights) is hereby deleted in its entirety and replaced with the following:</w:t>
      </w:r>
    </w:p>
    <w:p>
      <w:pPr>
        <w:spacing w:after="0" w:line="211" w:lineRule="exact"/>
        <w:rPr>
          <w:sz w:val="20"/>
          <w:szCs w:val="20"/>
          <w:color w:val="auto"/>
        </w:rPr>
      </w:pPr>
    </w:p>
    <w:p>
      <w:pPr>
        <w:jc w:val="both"/>
        <w:ind w:firstLine="1620"/>
        <w:spacing w:after="0" w:line="236"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1"/>
          <w:szCs w:val="21"/>
          <w:b w:val="1"/>
          <w:bCs w:val="1"/>
          <w:u w:val="single" w:color="auto"/>
          <w:color w:val="auto"/>
        </w:rPr>
        <w:t>Retained Rights</w:t>
      </w:r>
      <w:r>
        <w:rPr>
          <w:rFonts w:ascii="Times New Roman" w:cs="Times New Roman" w:eastAsia="Times New Roman" w:hAnsi="Times New Roman"/>
          <w:sz w:val="20"/>
          <w:szCs w:val="20"/>
          <w:color w:val="auto"/>
        </w:rPr>
        <w:t>. For the avoidance of doubt, notwithstanding the provisions of Section 8.1 (Licensed Grants to DS) or any other provision of this Agreement, Esperion shall retain rights under the Esperion Patent Rights, Esperion Know-How, Joint Technology, Regulatory Documentation, Esperion Trademarks and Esperion house marks to: (a) perform its responsibilities under this Agreement, the DS Supply Agreement and the Technology Transfer Agreement, (b) without limiting the Parties’ obligations under Section 6 of the Technology Transfer Agreement, Manufacture, have Manufactured, supply and have supplied the Licensed Products other than TC Products in the DS Territory and DSE Territory solely for the purpose of Developing and Commercializing such Licensed Products other than TC Products in the Esperion Territory, (c) Develop and have Developed the TC Products in the DS Territory and DSE Territory solely for the purpose of obtaining Regulatory Approval of and Commercializing the TC Products in the Esperion Territory, and (d) Manufacture, have Manufactured, supply and have supplied the TC Products in the DS Territory and DSE Territory solely for the purpose of Developing and Commercializing the TC Products in the Esperion Territory.</w:t>
      </w:r>
    </w:p>
    <w:p>
      <w:pPr>
        <w:spacing w:after="0" w:line="233" w:lineRule="exact"/>
        <w:rPr>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TC Products Financial Terms</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Section 9.2 (Commercial Milestones) is hereby deleted in its entirety and replaced with the following:</w:t>
      </w:r>
    </w:p>
    <w:p>
      <w:pPr>
        <w:spacing w:after="0" w:line="229" w:lineRule="exact"/>
        <w:rPr>
          <w:sz w:val="20"/>
          <w:szCs w:val="20"/>
          <w:color w:val="auto"/>
        </w:rPr>
      </w:pPr>
    </w:p>
    <w:p>
      <w:pPr>
        <w:jc w:val="both"/>
        <w:ind w:firstLine="16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9.2 </w:t>
      </w:r>
      <w:r>
        <w:rPr>
          <w:rFonts w:ascii="Times New Roman" w:cs="Times New Roman" w:eastAsia="Times New Roman" w:hAnsi="Times New Roman"/>
          <w:sz w:val="21"/>
          <w:szCs w:val="21"/>
          <w:b w:val="1"/>
          <w:bCs w:val="1"/>
          <w:color w:val="auto"/>
        </w:rPr>
        <w:t>Commercial Milestones</w:t>
      </w:r>
      <w:r>
        <w:rPr>
          <w:rFonts w:ascii="Times New Roman" w:cs="Times New Roman" w:eastAsia="Times New Roman" w:hAnsi="Times New Roman"/>
          <w:sz w:val="20"/>
          <w:szCs w:val="20"/>
          <w:color w:val="auto"/>
        </w:rPr>
        <w:t>. DS shall provide Esperion with written notice of the achievement by DS 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Related Parties of any commercial milestone event set forth below in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0"/>
          <w:szCs w:val="20"/>
          <w:color w:val="auto"/>
        </w:rPr>
        <w:t xml:space="preserve"> (Commercial Milestones)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after the end of the Fiscal Quarter in which such event has occurred. Esperion shall invoice DS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of receipt of such written notice by DS, and DS shall remit the associated milestone payment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of the receipt of such invoice. The Parties acknowledge that more than one commercial milestone payment may become due and payable in any given Fiscal Year. Each commercial milestone payment set forth below shall be payable only once, regardless of the number of times a commercial milestone event is achieved.</w:t>
      </w:r>
    </w:p>
    <w:p>
      <w:pPr>
        <w:sectPr>
          <w:pgSz w:w="11900" w:h="16838" w:orient="portrait"/>
          <w:cols w:equalWidth="0" w:num="1">
            <w:col w:w="11240"/>
          </w:cols>
          <w:pgMar w:left="320" w:top="1413" w:right="339" w:bottom="1440" w:gutter="0" w:footer="0" w:header="0"/>
        </w:sectPr>
      </w:pPr>
    </w:p>
    <w:bookmarkStart w:id="81" w:name="page82"/>
    <w:bookmarkEnd w:id="81"/>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780" w:type="dxa"/>
            <w:vAlign w:val="bottom"/>
            <w:tcBorders>
              <w:top w:val="single" w:sz="8" w:color="auto"/>
              <w:left w:val="single" w:sz="8" w:color="auto"/>
              <w:right w:val="single" w:sz="8" w:color="auto"/>
            </w:tcBorders>
          </w:tcPr>
          <w:p>
            <w:pPr>
              <w:ind w:left="3160"/>
              <w:spacing w:after="0"/>
              <w:rPr>
                <w:sz w:val="20"/>
                <w:szCs w:val="20"/>
                <w:color w:val="auto"/>
              </w:rPr>
            </w:pPr>
            <w:r>
              <w:rPr>
                <w:rFonts w:ascii="Times New Roman" w:cs="Times New Roman" w:eastAsia="Times New Roman" w:hAnsi="Times New Roman"/>
                <w:sz w:val="20"/>
                <w:szCs w:val="20"/>
                <w:b w:val="1"/>
                <w:bCs w:val="1"/>
                <w:color w:val="auto"/>
              </w:rPr>
              <w:t>Commercial Milestone Event</w:t>
            </w:r>
          </w:p>
        </w:tc>
        <w:tc>
          <w:tcPr>
            <w:tcW w:w="2480" w:type="dxa"/>
            <w:vAlign w:val="bottom"/>
            <w:tcBorders>
              <w:top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Commercial Milestone</w:t>
            </w:r>
          </w:p>
        </w:tc>
      </w:tr>
      <w:tr>
        <w:trPr>
          <w:trHeight w:val="262"/>
        </w:trPr>
        <w:tc>
          <w:tcPr>
            <w:tcW w:w="8780" w:type="dxa"/>
            <w:vAlign w:val="bottom"/>
            <w:tcBorders>
              <w:left w:val="single" w:sz="8" w:color="auto"/>
              <w:right w:val="single" w:sz="8" w:color="auto"/>
            </w:tcBorders>
          </w:tcPr>
          <w:p>
            <w:pPr>
              <w:spacing w:after="0"/>
              <w:rPr>
                <w:sz w:val="22"/>
                <w:szCs w:val="22"/>
                <w:color w:val="auto"/>
              </w:rPr>
            </w:pPr>
          </w:p>
        </w:tc>
        <w:tc>
          <w:tcPr>
            <w:tcW w:w="2480" w:type="dxa"/>
            <w:vAlign w:val="bottom"/>
            <w:tcBorders>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Payment (USD)</w:t>
            </w: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780" w:type="dxa"/>
            <w:vAlign w:val="bottom"/>
            <w:tcBorders>
              <w:left w:val="single" w:sz="8" w:color="auto"/>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(excluding Net Sales for</w:t>
            </w:r>
          </w:p>
        </w:tc>
        <w:tc>
          <w:tcPr>
            <w:tcW w:w="2480" w:type="dxa"/>
            <w:vAlign w:val="bottom"/>
            <w:tcBorders>
              <w:right w:val="single" w:sz="8" w:color="auto"/>
            </w:tcBorders>
          </w:tcPr>
          <w:p>
            <w:pPr>
              <w:jc w:val="right"/>
              <w:ind w:right="1881"/>
              <w:spacing w:after="0" w:line="21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w:t>
            </w:r>
          </w:p>
        </w:tc>
      </w:tr>
      <w:tr>
        <w:trPr>
          <w:trHeight w:val="258"/>
        </w:trPr>
        <w:tc>
          <w:tcPr>
            <w:tcW w:w="8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any TC Products) in the DS Territory equal to or exceeding $</w:t>
            </w:r>
            <w:r>
              <w:rPr>
                <w:rFonts w:ascii="Times New Roman" w:cs="Times New Roman" w:eastAsia="Times New Roman" w:hAnsi="Times New Roman"/>
                <w:sz w:val="17"/>
                <w:szCs w:val="17"/>
                <w:color w:val="auto"/>
              </w:rPr>
              <w:t>[***]</w:t>
            </w:r>
          </w:p>
        </w:tc>
        <w:tc>
          <w:tcPr>
            <w:tcW w:w="2480" w:type="dxa"/>
            <w:vAlign w:val="bottom"/>
            <w:tcBorders>
              <w:right w:val="single" w:sz="8" w:color="auto"/>
            </w:tcBorders>
          </w:tcPr>
          <w:p>
            <w:pPr>
              <w:spacing w:after="0"/>
              <w:rPr>
                <w:sz w:val="22"/>
                <w:szCs w:val="22"/>
                <w:color w:val="auto"/>
              </w:rPr>
            </w:pP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780" w:type="dxa"/>
            <w:vAlign w:val="bottom"/>
            <w:tcBorders>
              <w:left w:val="single" w:sz="8" w:color="auto"/>
              <w:right w:val="single" w:sz="8" w:color="auto"/>
            </w:tcBorders>
          </w:tcPr>
          <w:p>
            <w:pPr>
              <w:ind w:left="40"/>
              <w:spacing w:after="0" w:line="213" w:lineRule="exact"/>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(excluding Net Sales for</w:t>
            </w:r>
          </w:p>
        </w:tc>
        <w:tc>
          <w:tcPr>
            <w:tcW w:w="2480" w:type="dxa"/>
            <w:vAlign w:val="bottom"/>
            <w:tcBorders>
              <w:right w:val="single" w:sz="8" w:color="auto"/>
            </w:tcBorders>
          </w:tcPr>
          <w:p>
            <w:pPr>
              <w:jc w:val="right"/>
              <w:ind w:right="1881"/>
              <w:spacing w:after="0" w:line="21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w:t>
            </w:r>
          </w:p>
        </w:tc>
      </w:tr>
      <w:tr>
        <w:trPr>
          <w:trHeight w:val="258"/>
        </w:trPr>
        <w:tc>
          <w:tcPr>
            <w:tcW w:w="8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any TC Products) in the DS Territory equal to or exceeding $</w:t>
            </w:r>
            <w:r>
              <w:rPr>
                <w:rFonts w:ascii="Times New Roman" w:cs="Times New Roman" w:eastAsia="Times New Roman" w:hAnsi="Times New Roman"/>
                <w:sz w:val="17"/>
                <w:szCs w:val="17"/>
                <w:color w:val="auto"/>
              </w:rPr>
              <w:t>[***]</w:t>
            </w:r>
          </w:p>
        </w:tc>
        <w:tc>
          <w:tcPr>
            <w:tcW w:w="2480" w:type="dxa"/>
            <w:vAlign w:val="bottom"/>
            <w:tcBorders>
              <w:right w:val="single" w:sz="8" w:color="auto"/>
            </w:tcBorders>
          </w:tcPr>
          <w:p>
            <w:pPr>
              <w:spacing w:after="0"/>
              <w:rPr>
                <w:sz w:val="22"/>
                <w:szCs w:val="22"/>
                <w:color w:val="auto"/>
              </w:rPr>
            </w:pP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780" w:type="dxa"/>
            <w:vAlign w:val="bottom"/>
            <w:tcBorders>
              <w:left w:val="single" w:sz="8" w:color="auto"/>
              <w:right w:val="single" w:sz="8" w:color="auto"/>
            </w:tcBorders>
          </w:tcPr>
          <w:p>
            <w:pPr>
              <w:ind w:left="40"/>
              <w:spacing w:after="0" w:line="213" w:lineRule="exact"/>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(excluding Net Sales for</w:t>
            </w:r>
          </w:p>
        </w:tc>
        <w:tc>
          <w:tcPr>
            <w:tcW w:w="2480" w:type="dxa"/>
            <w:vAlign w:val="bottom"/>
            <w:tcBorders>
              <w:right w:val="single" w:sz="8" w:color="auto"/>
            </w:tcBorders>
          </w:tcPr>
          <w:p>
            <w:pPr>
              <w:jc w:val="right"/>
              <w:ind w:right="1881"/>
              <w:spacing w:after="0" w:line="21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w:t>
            </w:r>
          </w:p>
        </w:tc>
      </w:tr>
      <w:tr>
        <w:trPr>
          <w:trHeight w:val="258"/>
        </w:trPr>
        <w:tc>
          <w:tcPr>
            <w:tcW w:w="8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any TC Products) in the DS Territory equal to or exceeding $</w:t>
            </w:r>
            <w:r>
              <w:rPr>
                <w:rFonts w:ascii="Times New Roman" w:cs="Times New Roman" w:eastAsia="Times New Roman" w:hAnsi="Times New Roman"/>
                <w:sz w:val="17"/>
                <w:szCs w:val="17"/>
                <w:color w:val="auto"/>
              </w:rPr>
              <w:t>[***]</w:t>
            </w:r>
          </w:p>
        </w:tc>
        <w:tc>
          <w:tcPr>
            <w:tcW w:w="2480" w:type="dxa"/>
            <w:vAlign w:val="bottom"/>
            <w:tcBorders>
              <w:right w:val="single" w:sz="8" w:color="auto"/>
            </w:tcBorders>
          </w:tcPr>
          <w:p>
            <w:pPr>
              <w:spacing w:after="0"/>
              <w:rPr>
                <w:sz w:val="22"/>
                <w:szCs w:val="22"/>
                <w:color w:val="auto"/>
              </w:rPr>
            </w:pP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780" w:type="dxa"/>
            <w:vAlign w:val="bottom"/>
            <w:tcBorders>
              <w:left w:val="single" w:sz="8" w:color="auto"/>
              <w:right w:val="single" w:sz="8" w:color="auto"/>
            </w:tcBorders>
          </w:tcPr>
          <w:p>
            <w:pPr>
              <w:ind w:left="40"/>
              <w:spacing w:after="0" w:line="213" w:lineRule="exact"/>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(excluding Net Sales for</w:t>
            </w:r>
          </w:p>
        </w:tc>
        <w:tc>
          <w:tcPr>
            <w:tcW w:w="2480" w:type="dxa"/>
            <w:vAlign w:val="bottom"/>
            <w:tcBorders>
              <w:right w:val="single" w:sz="8" w:color="auto"/>
            </w:tcBorders>
          </w:tcPr>
          <w:p>
            <w:pPr>
              <w:jc w:val="right"/>
              <w:ind w:right="1881"/>
              <w:spacing w:after="0" w:line="21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w:t>
            </w:r>
          </w:p>
        </w:tc>
      </w:tr>
      <w:tr>
        <w:trPr>
          <w:trHeight w:val="258"/>
        </w:trPr>
        <w:tc>
          <w:tcPr>
            <w:tcW w:w="8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any TC Products) in the DS Territory equal to or exceeding $</w:t>
            </w:r>
            <w:r>
              <w:rPr>
                <w:rFonts w:ascii="Times New Roman" w:cs="Times New Roman" w:eastAsia="Times New Roman" w:hAnsi="Times New Roman"/>
                <w:sz w:val="17"/>
                <w:szCs w:val="17"/>
                <w:color w:val="auto"/>
              </w:rPr>
              <w:t>[***]</w:t>
            </w:r>
          </w:p>
        </w:tc>
        <w:tc>
          <w:tcPr>
            <w:tcW w:w="2480" w:type="dxa"/>
            <w:vAlign w:val="bottom"/>
            <w:tcBorders>
              <w:right w:val="single" w:sz="8" w:color="auto"/>
            </w:tcBorders>
          </w:tcPr>
          <w:p>
            <w:pPr>
              <w:spacing w:after="0"/>
              <w:rPr>
                <w:sz w:val="22"/>
                <w:szCs w:val="22"/>
                <w:color w:val="auto"/>
              </w:rPr>
            </w:pP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780" w:type="dxa"/>
            <w:vAlign w:val="bottom"/>
            <w:tcBorders>
              <w:left w:val="single" w:sz="8" w:color="auto"/>
              <w:right w:val="single" w:sz="8" w:color="auto"/>
            </w:tcBorders>
          </w:tcPr>
          <w:p>
            <w:pPr>
              <w:ind w:left="40"/>
              <w:spacing w:after="0" w:line="213" w:lineRule="exact"/>
              <w:rPr>
                <w:sz w:val="20"/>
                <w:szCs w:val="20"/>
                <w:color w:val="auto"/>
              </w:rPr>
            </w:pPr>
            <w:r>
              <w:rPr>
                <w:rFonts w:ascii="Times New Roman" w:cs="Times New Roman" w:eastAsia="Times New Roman" w:hAnsi="Times New Roman"/>
                <w:sz w:val="20"/>
                <w:szCs w:val="20"/>
                <w:color w:val="auto"/>
              </w:rPr>
              <w:t>Upon the first achievement of Net Sales for a Fiscal Year of the Licensed Products (excluding Net Sales for</w:t>
            </w:r>
          </w:p>
        </w:tc>
        <w:tc>
          <w:tcPr>
            <w:tcW w:w="2480" w:type="dxa"/>
            <w:vAlign w:val="bottom"/>
            <w:tcBorders>
              <w:right w:val="single" w:sz="8" w:color="auto"/>
            </w:tcBorders>
          </w:tcPr>
          <w:p>
            <w:pPr>
              <w:jc w:val="right"/>
              <w:ind w:right="1881"/>
              <w:spacing w:after="0" w:line="21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w:t>
            </w:r>
          </w:p>
        </w:tc>
      </w:tr>
      <w:tr>
        <w:trPr>
          <w:trHeight w:val="258"/>
        </w:trPr>
        <w:tc>
          <w:tcPr>
            <w:tcW w:w="8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any TC Products) in the DS Territory equal to or exceeding $</w:t>
            </w:r>
            <w:r>
              <w:rPr>
                <w:rFonts w:ascii="Times New Roman" w:cs="Times New Roman" w:eastAsia="Times New Roman" w:hAnsi="Times New Roman"/>
                <w:sz w:val="17"/>
                <w:szCs w:val="17"/>
                <w:color w:val="auto"/>
              </w:rPr>
              <w:t>[***]</w:t>
            </w:r>
          </w:p>
        </w:tc>
        <w:tc>
          <w:tcPr>
            <w:tcW w:w="2480" w:type="dxa"/>
            <w:vAlign w:val="bottom"/>
            <w:tcBorders>
              <w:right w:val="single" w:sz="8" w:color="auto"/>
            </w:tcBorders>
          </w:tcPr>
          <w:p>
            <w:pPr>
              <w:spacing w:after="0"/>
              <w:rPr>
                <w:sz w:val="22"/>
                <w:szCs w:val="22"/>
                <w:color w:val="auto"/>
              </w:rPr>
            </w:pPr>
          </w:p>
        </w:tc>
      </w:tr>
      <w:tr>
        <w:trPr>
          <w:trHeight w:val="21"/>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1960" w:right="40" w:hanging="506"/>
        <w:spacing w:after="0" w:line="245" w:lineRule="auto"/>
        <w:tabs>
          <w:tab w:leader="none" w:pos="19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Sections 9.3.1 (Royalty Rates) and 9.3.2 (Royalty Term) are hereby deleted in its entirety and replaced with the following:</w:t>
      </w:r>
    </w:p>
    <w:p>
      <w:pPr>
        <w:spacing w:after="0" w:line="187" w:lineRule="exact"/>
        <w:rPr>
          <w:sz w:val="20"/>
          <w:szCs w:val="20"/>
          <w:color w:val="auto"/>
        </w:rPr>
      </w:pPr>
    </w:p>
    <w:p>
      <w:pPr>
        <w:jc w:val="both"/>
        <w:ind w:right="20" w:firstLine="16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9.3.1. </w:t>
      </w:r>
      <w:r>
        <w:rPr>
          <w:rFonts w:ascii="Times New Roman" w:cs="Times New Roman" w:eastAsia="Times New Roman" w:hAnsi="Times New Roman"/>
          <w:sz w:val="21"/>
          <w:szCs w:val="21"/>
          <w:b w:val="1"/>
          <w:bCs w:val="1"/>
          <w:color w:val="auto"/>
        </w:rPr>
        <w:t>Royalty Rates</w:t>
      </w:r>
      <w:r>
        <w:rPr>
          <w:rFonts w:ascii="Times New Roman" w:cs="Times New Roman" w:eastAsia="Times New Roman" w:hAnsi="Times New Roman"/>
          <w:sz w:val="20"/>
          <w:szCs w:val="20"/>
          <w:color w:val="auto"/>
        </w:rPr>
        <w:t>. Subject to the terms and conditions of this Agreement, DS shall pay to Esperion royalties on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Sales of Licensed Products sold in the DS Territory for a given Fiscal Year by or on behalf of DS and its Related Parties during the Royalty Term for each Licensed Product at the applicable royalty rate set forth below:</w:t>
      </w:r>
    </w:p>
    <w:tbl>
      <w:tblPr>
        <w:tblLayout w:type="fixed"/>
        <w:tblInd w:w="10" w:type="dxa"/>
        <w:tblCellMar>
          <w:top w:w="0" w:type="dxa"/>
          <w:left w:w="0" w:type="dxa"/>
          <w:bottom w:w="0" w:type="dxa"/>
          <w:right w:w="0" w:type="dxa"/>
        </w:tblCellMar>
      </w:tblPr>
      <w:tr>
        <w:trPr>
          <w:trHeight w:val="270"/>
        </w:trPr>
        <w:tc>
          <w:tcPr>
            <w:tcW w:w="77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Net Sales of Licensed Products for a given Fiscal Year in the DS Territory</w:t>
            </w:r>
          </w:p>
        </w:tc>
        <w:tc>
          <w:tcPr>
            <w:tcW w:w="356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Royalty (as a percentage of Net Sales)</w:t>
            </w:r>
          </w:p>
        </w:tc>
      </w:tr>
      <w:tr>
        <w:trPr>
          <w:trHeight w:val="260"/>
        </w:trPr>
        <w:tc>
          <w:tcPr>
            <w:tcW w:w="7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Portion less than or equal to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w:t>
            </w:r>
          </w:p>
        </w:tc>
      </w:tr>
      <w:tr>
        <w:trPr>
          <w:trHeight w:val="21"/>
        </w:trPr>
        <w:tc>
          <w:tcPr>
            <w:tcW w:w="7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7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Portion greater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less than or equal to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w:t>
            </w:r>
          </w:p>
        </w:tc>
      </w:tr>
      <w:tr>
        <w:trPr>
          <w:trHeight w:val="21"/>
        </w:trPr>
        <w:tc>
          <w:tcPr>
            <w:tcW w:w="7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7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Portion greater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less than or equal to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w:t>
            </w:r>
          </w:p>
        </w:tc>
      </w:tr>
      <w:tr>
        <w:trPr>
          <w:trHeight w:val="21"/>
        </w:trPr>
        <w:tc>
          <w:tcPr>
            <w:tcW w:w="7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7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Portion greater than $</w:t>
            </w:r>
            <w:r>
              <w:rPr>
                <w:rFonts w:ascii="Times New Roman" w:cs="Times New Roman" w:eastAsia="Times New Roman" w:hAnsi="Times New Roman"/>
                <w:sz w:val="17"/>
                <w:szCs w:val="17"/>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7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20" w:firstLine="16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9.3.2. </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The period during which the royalties set forth in Section 9.3.1 (Royalty Rates)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payable on a Licensed Product-by-Licensed Product and country-by-country basis shall commence upon the First Commercial Sale of such Licensed Product in such country and continue until the latest of (a) the expiration of the last Valid Claim of the Esperion Patent Rights that covers such Licensed Product in such country, (b) the expiration of Regulatory Exclusivity for such Licensed Product in such country, and (c)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anniversary of the First Commercial Sale of such Licensed Product in such country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19"/>
          <w:szCs w:val="19"/>
          <w:color w:val="auto"/>
        </w:rPr>
        <w:t xml:space="preserve">”). For the avoidance of doubt, from and after the expiration of the Royalty Term for a Licensed Product in a country of the DS Territory,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ind w:left="1300" w:hanging="320"/>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960" w:right="40" w:hanging="446"/>
        <w:spacing w:after="0" w:line="245" w:lineRule="auto"/>
        <w:tabs>
          <w:tab w:leader="none" w:pos="19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 (b) of Section 11.1 (General Indemnification by DS) is hereby deleted in its entirety and replaced with the following: “(b) the Development or</w:t>
      </w:r>
    </w:p>
    <w:p>
      <w:pPr>
        <w:sectPr>
          <w:pgSz w:w="11900" w:h="16838" w:orient="portrait"/>
          <w:cols w:equalWidth="0" w:num="1">
            <w:col w:w="11260"/>
          </w:cols>
          <w:pgMar w:left="320" w:top="1440" w:right="319" w:bottom="1440" w:gutter="0" w:footer="0" w:header="0"/>
        </w:sectPr>
      </w:pPr>
    </w:p>
    <w:bookmarkStart w:id="82" w:name="page83"/>
    <w:bookmarkEnd w:id="82"/>
    <w:p>
      <w:pPr>
        <w:ind w:left="840"/>
        <w:spacing w:after="0" w:line="255" w:lineRule="auto"/>
        <w:rPr>
          <w:sz w:val="20"/>
          <w:szCs w:val="20"/>
          <w:color w:val="auto"/>
        </w:rPr>
      </w:pPr>
      <w:r>
        <w:rPr>
          <w:rFonts w:ascii="Times New Roman" w:cs="Times New Roman" w:eastAsia="Times New Roman" w:hAnsi="Times New Roman"/>
          <w:sz w:val="20"/>
          <w:szCs w:val="20"/>
          <w:color w:val="auto"/>
        </w:rPr>
        <w:t>Commercialization of Licensed Products other than TC Products by or on behalf of DS or any of its Related Parties,”.</w:t>
      </w:r>
    </w:p>
    <w:p>
      <w:pPr>
        <w:spacing w:after="0" w:line="213" w:lineRule="exact"/>
        <w:rPr>
          <w:sz w:val="20"/>
          <w:szCs w:val="20"/>
          <w:color w:val="auto"/>
        </w:rPr>
      </w:pPr>
    </w:p>
    <w:p>
      <w:pPr>
        <w:jc w:val="both"/>
        <w:ind w:left="840" w:hanging="506"/>
        <w:spacing w:after="0" w:line="237" w:lineRule="auto"/>
        <w:tabs>
          <w:tab w:leader="none" w:pos="84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are added as new clauses (c) and (d) to Section 11.1 (General Indemnification by DS): “(c) the Manufacture of Licensed Products other than TC Products by or on behalf of DS or any of its Related Parties, (d) the Development, Manufacture and Commercialization of TC Products by or on behalf of DS or any of its Related Parties,”.</w:t>
      </w:r>
    </w:p>
    <w:p>
      <w:pPr>
        <w:spacing w:after="0" w:line="216" w:lineRule="exact"/>
        <w:rPr>
          <w:rFonts w:ascii="Times New Roman" w:cs="Times New Roman" w:eastAsia="Times New Roman" w:hAnsi="Times New Roman"/>
          <w:sz w:val="22"/>
          <w:szCs w:val="22"/>
          <w:color w:val="auto"/>
        </w:rPr>
      </w:pPr>
    </w:p>
    <w:p>
      <w:pPr>
        <w:ind w:left="840" w:hanging="566"/>
        <w:spacing w:after="0"/>
        <w:tabs>
          <w:tab w:leader="none" w:pos="84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 (c) of Section 11.1 (General Indemnification by DS) is hereby renumbered as clause (e).</w:t>
      </w:r>
    </w:p>
    <w:p>
      <w:pPr>
        <w:spacing w:after="0" w:line="233" w:lineRule="exact"/>
        <w:rPr>
          <w:rFonts w:ascii="Times New Roman" w:cs="Times New Roman" w:eastAsia="Times New Roman" w:hAnsi="Times New Roman"/>
          <w:sz w:val="22"/>
          <w:szCs w:val="22"/>
          <w:color w:val="auto"/>
        </w:rPr>
      </w:pPr>
    </w:p>
    <w:p>
      <w:pPr>
        <w:jc w:val="both"/>
        <w:ind w:left="840" w:hanging="554"/>
        <w:spacing w:after="0" w:line="237" w:lineRule="auto"/>
        <w:tabs>
          <w:tab w:leader="none" w:pos="82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Clause (b) of Section 11.2 (General Indemnification by Esperion) is hereby deleted in its entirety and replaced with the following: “(b) the Development or Commercialization of Licensed Products other than TC Products by or on behalf of Esperion or any of its Affiliates (excluding such conduct by DS, its Affiliates and its Sublicensee hereunder),”.</w:t>
      </w:r>
    </w:p>
    <w:p>
      <w:pPr>
        <w:spacing w:after="0" w:line="216" w:lineRule="exact"/>
        <w:rPr>
          <w:rFonts w:ascii="Times New Roman" w:cs="Times New Roman" w:eastAsia="Times New Roman" w:hAnsi="Times New Roman"/>
          <w:sz w:val="22"/>
          <w:szCs w:val="22"/>
          <w:color w:val="auto"/>
        </w:rPr>
      </w:pPr>
    </w:p>
    <w:p>
      <w:pPr>
        <w:jc w:val="both"/>
        <w:ind w:left="840" w:hanging="494"/>
        <w:spacing w:after="0" w:line="236" w:lineRule="auto"/>
        <w:tabs>
          <w:tab w:leader="none" w:pos="82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is added as new clause (c) to Section 11.2 (General Indemnification by Esperion): “(c) the Development, Manufacture and Commercialization of TC Products by or on behalf of Esperion or any of its Affiliates (excluding such conduct by DS, its Affiliates and its Sublicensee hereunder),”.</w:t>
      </w:r>
    </w:p>
    <w:p>
      <w:pPr>
        <w:spacing w:after="0" w:line="230" w:lineRule="exact"/>
        <w:rPr>
          <w:rFonts w:ascii="Times New Roman" w:cs="Times New Roman" w:eastAsia="Times New Roman" w:hAnsi="Times New Roman"/>
          <w:sz w:val="22"/>
          <w:szCs w:val="22"/>
          <w:color w:val="auto"/>
        </w:rPr>
      </w:pPr>
    </w:p>
    <w:p>
      <w:pPr>
        <w:ind w:left="-140" w:right="1260" w:firstLine="426"/>
        <w:spacing w:after="0" w:line="462" w:lineRule="auto"/>
        <w:tabs>
          <w:tab w:leader="none" w:pos="83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Clause (c) of Section 11.2 (General Indemnification by Esperion) is hereby renumbered as clause (d). </w:t>
      </w: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19"/>
          <w:szCs w:val="19"/>
          <w:u w:val="single" w:color="auto"/>
          <w:color w:val="auto"/>
        </w:rPr>
        <w:t>TC Products Data Ownership</w:t>
      </w:r>
      <w:r>
        <w:rPr>
          <w:rFonts w:ascii="Times New Roman" w:cs="Times New Roman" w:eastAsia="Times New Roman" w:hAnsi="Times New Roman"/>
          <w:sz w:val="19"/>
          <w:szCs w:val="19"/>
          <w:color w:val="auto"/>
        </w:rPr>
        <w:t>.</w:t>
      </w:r>
    </w:p>
    <w:p>
      <w:pPr>
        <w:spacing w:after="0" w:line="20" w:lineRule="exact"/>
        <w:rPr>
          <w:rFonts w:ascii="Times New Roman" w:cs="Times New Roman" w:eastAsia="Times New Roman" w:hAnsi="Times New Roman"/>
          <w:sz w:val="22"/>
          <w:szCs w:val="22"/>
          <w:color w:val="auto"/>
        </w:rPr>
      </w:pPr>
    </w:p>
    <w:p>
      <w:pPr>
        <w:ind w:left="840" w:hanging="446"/>
        <w:spacing w:after="0"/>
        <w:tabs>
          <w:tab w:leader="none" w:pos="84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12.1.2 (Ownership) is hereby deleted in its entirety and replaced with the following:</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12.1.2. </w:t>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0"/>
          <w:szCs w:val="20"/>
          <w:color w:val="auto"/>
        </w:rPr>
        <w:t>.</w:t>
      </w:r>
    </w:p>
    <w:p>
      <w:pPr>
        <w:spacing w:after="0" w:line="253" w:lineRule="exact"/>
        <w:rPr>
          <w:sz w:val="20"/>
          <w:szCs w:val="20"/>
          <w:color w:val="auto"/>
        </w:rPr>
      </w:pPr>
    </w:p>
    <w:p>
      <w:pPr>
        <w:jc w:val="both"/>
        <w:ind w:left="-1120" w:firstLine="2600"/>
        <w:spacing w:after="0" w:line="238" w:lineRule="auto"/>
        <w:tabs>
          <w:tab w:leader="none" w:pos="17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DS shall own the entire right, title and interest in and to all Know-How, scientific, technical, test, or other data or information pertaining to any TC Product that is generated by or on behalf of DS or any of its Affiliates or Sublicensees during the Term, or, as may be applicable, is generated by or on behalf of Esperion or any of its Affiliates or (sub)contractors in performing the Esperion Assistance, including research data, preclinical data, clinical pharmacology data, chemistry-manufacture-controls (CMC) data (including analytical and quality control data and stability data), pre-clinical data, clinical data, clinical study reports, any safety database pertaining to any TC Product and all data used in connection with submissions of any Regulatory Approval with respect to any TC Product (collectively, “</w:t>
      </w:r>
      <w:r>
        <w:rPr>
          <w:rFonts w:ascii="Times New Roman" w:cs="Times New Roman" w:eastAsia="Times New Roman" w:hAnsi="Times New Roman"/>
          <w:sz w:val="21"/>
          <w:szCs w:val="21"/>
          <w:b w:val="1"/>
          <w:bCs w:val="1"/>
          <w:color w:val="auto"/>
        </w:rPr>
        <w:t>TC Products Data</w:t>
      </w:r>
      <w:r>
        <w:rPr>
          <w:rFonts w:ascii="Times New Roman" w:cs="Times New Roman" w:eastAsia="Times New Roman" w:hAnsi="Times New Roman"/>
          <w:sz w:val="20"/>
          <w:szCs w:val="20"/>
          <w:color w:val="auto"/>
        </w:rPr>
        <w:t>”). Esperion shall assign and hereby does assign (and shall cause its Affiliates and (sub)contractors to assign) to DS all rights worldwide in and to any TC Products Data generated in the performance of any Esperion Assistance, as applicable, to effectuate the ownership thereof as set forth in this Section 12.1.2(a).</w:t>
      </w:r>
    </w:p>
    <w:p>
      <w:pPr>
        <w:spacing w:after="0" w:line="217" w:lineRule="exact"/>
        <w:rPr>
          <w:rFonts w:ascii="Times New Roman" w:cs="Times New Roman" w:eastAsia="Times New Roman" w:hAnsi="Times New Roman"/>
          <w:sz w:val="20"/>
          <w:szCs w:val="20"/>
          <w:color w:val="auto"/>
        </w:rPr>
      </w:pPr>
    </w:p>
    <w:p>
      <w:pPr>
        <w:ind w:left="-1120" w:right="20" w:firstLine="2600"/>
        <w:spacing w:after="0" w:line="269" w:lineRule="auto"/>
        <w:tabs>
          <w:tab w:leader="none" w:pos="17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DS shall own the entire right, title and interest in and to all inventions it Invents (i.e., solely by one or more employees of DS or its Affiliates (or a Third Party acting</w:t>
      </w:r>
    </w:p>
    <w:p>
      <w:pPr>
        <w:sectPr>
          <w:pgSz w:w="11900" w:h="16838" w:orient="portrait"/>
          <w:cols w:equalWidth="0" w:num="1">
            <w:col w:w="10120"/>
          </w:cols>
          <w:pgMar w:left="1440" w:top="1413" w:right="339" w:bottom="1440" w:gutter="0" w:footer="0" w:header="0"/>
        </w:sectPr>
      </w:pPr>
    </w:p>
    <w:bookmarkStart w:id="83" w:name="page84"/>
    <w:bookmarkEnd w:id="83"/>
    <w:p>
      <w:pPr>
        <w:jc w:val="both"/>
        <w:spacing w:after="0" w:line="247" w:lineRule="auto"/>
        <w:rPr>
          <w:sz w:val="20"/>
          <w:szCs w:val="20"/>
          <w:color w:val="auto"/>
        </w:rPr>
      </w:pPr>
      <w:r>
        <w:rPr>
          <w:rFonts w:ascii="Times New Roman" w:cs="Times New Roman" w:eastAsia="Times New Roman" w:hAnsi="Times New Roman"/>
          <w:sz w:val="20"/>
          <w:szCs w:val="20"/>
          <w:color w:val="auto"/>
        </w:rPr>
        <w:t>on any of their behalf)) during the Term, and, except as set forth in Section 12.1.2(a), Esperion shall own the entire right, title and interest in and to all inventions it Invents (i.e., solely by one or more employees of Esperion or its Affiliates (or a Third Party acting on any of their</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behalf)) during the Term. The Parties shall jointly own the entire right, title and interest in and to all inventions they Invent jointly (i.e., by one or more employees of DS or its Affiliates (or a Third Party acting on any of their behalf) and one or more employees of Esperion or its Affiliates (or a Third Party acting on any of their behalf)) during the Term.</w:t>
      </w:r>
    </w:p>
    <w:p>
      <w:pPr>
        <w:spacing w:after="0" w:line="229" w:lineRule="exact"/>
        <w:rPr>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960" w:hanging="446"/>
        <w:spacing w:after="0" w:line="235" w:lineRule="auto"/>
        <w:tabs>
          <w:tab w:leader="none" w:pos="1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13.4.2 (Disclosure of Certain Commercialization Related Information) is hereby deleted in its entirety and replaced with the following:</w:t>
      </w:r>
    </w:p>
    <w:p>
      <w:pPr>
        <w:spacing w:after="0" w:line="2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b w:val="1"/>
          <w:bCs w:val="1"/>
          <w:color w:val="auto"/>
        </w:rPr>
        <w:t>13.4.2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Disclosure of Certain Commercialization Related Information</w:t>
      </w:r>
      <w:r>
        <w:rPr>
          <w:rFonts w:ascii="Times New Roman" w:cs="Times New Roman" w:eastAsia="Times New Roman" w:hAnsi="Times New Roman"/>
          <w:sz w:val="20"/>
          <w:szCs w:val="20"/>
          <w:color w:val="auto"/>
        </w:rPr>
        <w:t>. DS will disclose and will transfer (or cause</w:t>
      </w:r>
    </w:p>
    <w:p>
      <w:pPr>
        <w:spacing w:after="0" w:line="2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to be transferred) to Esperion copies of all material information pertaining to pricing and market access strategy and health economic study information, in each case, for each Licensed Product in the DS Territory or Terminated Country (as applicable) in the possession of DS or any of its Related Parties as of the date of such reversion that is necessary or useful for the continued Commercialization of such Licensed Product in the DS Territory or Terminated Country (as applicable);</w:t>
      </w:r>
    </w:p>
    <w:p>
      <w:pPr>
        <w:spacing w:after="0" w:line="215" w:lineRule="exact"/>
        <w:rPr>
          <w:sz w:val="20"/>
          <w:szCs w:val="20"/>
          <w:color w:val="auto"/>
        </w:rPr>
      </w:pPr>
    </w:p>
    <w:p>
      <w:pPr>
        <w:ind w:left="1960" w:hanging="506"/>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13.4.6(a) (Transition Activities) is hereby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firstLine="2276"/>
        <w:spacing w:after="0" w:line="236" w:lineRule="auto"/>
        <w:tabs>
          <w:tab w:leader="none" w:pos="2569"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wish to provide a mechanism to ensure that, in the event patients are being treated with any Licensed Product or are being given any Licensed Product in any ongoing Clinical Studies as of the date of such termination, such patients will continue to have access to such Licensed Product while the development, regulatory and commercial responsibilities, as applicable, for such Licensed Product are transitioned from DS to Esperion. As such, Esperion may request DS to perform transition activities that are necessary or useful to (1) transfer to Esperion or its designee all ongoing Clinical Studies of such Licensed Product or, if so instructed by Esperion, wind-down the conduct of any such ongoing Clinical Studies (subject to ethical obligations and requirements under applicable Laws), (2) transition DS’s and its Related Parties’ Commercialization activities (if any) to Esperion of such Licensed Product to minimize disruption to sales, (3) provide patients with continued access to such Licensed Product (if applicable), (4) enable Esperion (or Esperion’s designee) to assume and execute all responsibilities under all Regulatory Approvals for such Licensed Product and under all ongoing Clinical Studies of such Licensed Product (other than those designated by Esperion to be wound down), and (5) ensure long-term continuity of supply for such Licensed Product (collectively, the “</w:t>
      </w:r>
      <w:r>
        <w:rPr>
          <w:rFonts w:ascii="Times New Roman" w:cs="Times New Roman" w:eastAsia="Times New Roman" w:hAnsi="Times New Roman"/>
          <w:sz w:val="21"/>
          <w:szCs w:val="21"/>
          <w:b w:val="1"/>
          <w:bCs w:val="1"/>
          <w:color w:val="auto"/>
        </w:rPr>
        <w:t>Transition Activities</w:t>
      </w:r>
      <w:r>
        <w:rPr>
          <w:rFonts w:ascii="Times New Roman" w:cs="Times New Roman" w:eastAsia="Times New Roman" w:hAnsi="Times New Roman"/>
          <w:sz w:val="20"/>
          <w:szCs w:val="20"/>
          <w:color w:val="auto"/>
        </w:rPr>
        <w:t xml:space="preserve">”), but no longer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year following the effective date of termination.</w:t>
      </w:r>
    </w:p>
    <w:p>
      <w:pPr>
        <w:spacing w:after="0" w:line="217" w:lineRule="exact"/>
        <w:rPr>
          <w:rFonts w:ascii="Times New Roman" w:cs="Times New Roman" w:eastAsia="Times New Roman" w:hAnsi="Times New Roman"/>
          <w:sz w:val="20"/>
          <w:szCs w:val="20"/>
          <w:color w:val="auto"/>
        </w:rPr>
      </w:pPr>
    </w:p>
    <w:p>
      <w:pPr>
        <w:ind w:left="1960" w:hanging="566"/>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13.4.6(c) (Transition Activities) is hereby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firstLine="2276"/>
        <w:spacing w:after="0" w:line="239" w:lineRule="auto"/>
        <w:tabs>
          <w:tab w:leader="none" w:pos="258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Esperion will pay DS’s internal costs to perform the Transition Activities, calculated using the same methodology as DS used to calculate such expenses for the applicable Licensed Product in its most recently audited financial statements prior to the termination date. In addition, Esperion will reimburse DS’s Out-of-Pocket costs to perform the Transition Activities. Except as set forth in Section 13.4.5 (Stock of Finished Drug Products), Esperion will own all revenue derived from any and all Licensed Products after the termination date and DS will remit all such revenues to Esperion no later than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 following the end of the month in which such revenue was received.</w:t>
      </w:r>
    </w:p>
    <w:p>
      <w:pPr>
        <w:sectPr>
          <w:pgSz w:w="11900" w:h="16838" w:orient="portrait"/>
          <w:cols w:equalWidth="0" w:num="1">
            <w:col w:w="11240"/>
          </w:cols>
          <w:pgMar w:left="320" w:top="1413" w:right="339" w:bottom="1440" w:gutter="0" w:footer="0" w:header="0"/>
        </w:sectPr>
      </w:pPr>
    </w:p>
    <w:bookmarkStart w:id="84" w:name="page85"/>
    <w:bookmarkEnd w:id="84"/>
    <w:p>
      <w:pPr>
        <w:jc w:val="both"/>
        <w:ind w:left="328" w:hanging="328"/>
        <w:spacing w:after="0" w:line="250" w:lineRule="auto"/>
        <w:tabs>
          <w:tab w:leader="none" w:pos="3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All other original terms and conditions of the LCA, except as specifically amended herein, will remain in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and effect. To the extent there is a conflict between this Amendment and the LCA, the provisions of this Amendment will control.</w:t>
      </w:r>
    </w:p>
    <w:p>
      <w:pPr>
        <w:spacing w:after="0" w:line="202"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Effectiveness</w:t>
      </w:r>
      <w:r>
        <w:rPr>
          <w:rFonts w:ascii="Times New Roman" w:cs="Times New Roman" w:eastAsia="Times New Roman" w:hAnsi="Times New Roman"/>
          <w:sz w:val="20"/>
          <w:szCs w:val="20"/>
          <w:color w:val="auto"/>
        </w:rPr>
        <w:t>. This Amendment will be effective as of the Amendment Effective Date.</w:t>
      </w:r>
    </w:p>
    <w:p>
      <w:pPr>
        <w:spacing w:after="0" w:line="233" w:lineRule="exact"/>
        <w:rPr>
          <w:rFonts w:ascii="Times New Roman" w:cs="Times New Roman" w:eastAsia="Times New Roman" w:hAnsi="Times New Roman"/>
          <w:sz w:val="22"/>
          <w:szCs w:val="22"/>
          <w:color w:val="auto"/>
        </w:rPr>
      </w:pPr>
    </w:p>
    <w:p>
      <w:pPr>
        <w:jc w:val="both"/>
        <w:ind w:left="328" w:hanging="328"/>
        <w:spacing w:after="0" w:line="238" w:lineRule="auto"/>
        <w:tabs>
          <w:tab w:leader="none" w:pos="3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This Amendment may not be assigned, nor may any right or obligation hereunder be assigned, by either Party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prior written consent of the other Party, except that either Party may assign this Amendment, and its rights and obligations hereunder, without the other Party’s prior written consent together with an assignment of the LCA in accordance with Section 14.1 (Assignment) of the LCA.</w:t>
      </w:r>
    </w:p>
    <w:p>
      <w:pPr>
        <w:spacing w:after="0" w:line="212" w:lineRule="exact"/>
        <w:rPr>
          <w:rFonts w:ascii="Times New Roman" w:cs="Times New Roman" w:eastAsia="Times New Roman" w:hAnsi="Times New Roman"/>
          <w:sz w:val="22"/>
          <w:szCs w:val="22"/>
          <w:color w:val="auto"/>
        </w:rPr>
      </w:pPr>
    </w:p>
    <w:p>
      <w:pPr>
        <w:jc w:val="both"/>
        <w:ind w:left="328" w:hanging="328"/>
        <w:spacing w:after="0" w:line="247" w:lineRule="auto"/>
        <w:tabs>
          <w:tab w:leader="none" w:pos="3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 The provisions of Sections 14.2 (Governing Law), 14.3 (Jurisdiction), 14.4 (Entire Agreement; Amendment); 14.5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(Severability), 14.6 (Headings), 14.7 (Waiver of Rule of Construction), 14.8 (Interpretation) and 14.16 (Counterparts) of the LCA are hereby incorporated into this Amendment by reference and shall apply to this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908"/>
          </w:cols>
          <w:pgMar w:left="652" w:top="1422" w:right="339" w:bottom="1440" w:gutter="0" w:footer="0" w:header="0"/>
        </w:sectPr>
      </w:pPr>
    </w:p>
    <w:bookmarkStart w:id="85" w:name="page86"/>
    <w:bookmarkEnd w:id="85"/>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Amendment to be duly executed by their respective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as of the Amendment Effective Date.</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140" w:val="left"/>
        </w:tabs>
        <w:rPr>
          <w:sz w:val="20"/>
          <w:szCs w:val="20"/>
          <w:color w:val="auto"/>
        </w:rPr>
      </w:pPr>
      <w:r>
        <w:rPr>
          <w:rFonts w:ascii="Times New Roman" w:cs="Times New Roman" w:eastAsia="Times New Roman" w:hAnsi="Times New Roman"/>
          <w:sz w:val="20"/>
          <w:szCs w:val="20"/>
          <w:b w:val="1"/>
          <w:bCs w:val="1"/>
          <w:color w:val="auto"/>
        </w:rPr>
        <w:t>Esperion Therapeutics, Inc.</w:t>
      </w:r>
      <w:r>
        <w:rPr>
          <w:sz w:val="20"/>
          <w:szCs w:val="20"/>
          <w:color w:val="auto"/>
        </w:rPr>
        <w:tab/>
      </w:r>
      <w:r>
        <w:rPr>
          <w:rFonts w:ascii="Times New Roman" w:cs="Times New Roman" w:eastAsia="Times New Roman" w:hAnsi="Times New Roman"/>
          <w:sz w:val="19"/>
          <w:szCs w:val="19"/>
          <w:b w:val="1"/>
          <w:bCs w:val="1"/>
          <w:color w:val="auto"/>
        </w:rPr>
        <w:t>Daiichi Sankyo Company, Limited</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 Authorized Signatory</w:t>
            </w:r>
          </w:p>
        </w:tc>
        <w:tc>
          <w:tcPr>
            <w:tcW w:w="380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By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 Authorized Signatory</w:t>
            </w:r>
          </w:p>
        </w:tc>
      </w:tr>
      <w:tr>
        <w:trPr>
          <w:trHeight w:val="20"/>
        </w:trPr>
        <w:tc>
          <w:tcPr>
            <w:tcW w:w="3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310"/>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w:t>
            </w:r>
          </w:p>
        </w:tc>
        <w:tc>
          <w:tcPr>
            <w:tcW w:w="380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w:t>
            </w:r>
          </w:p>
        </w:tc>
      </w:tr>
      <w:tr>
        <w:trPr>
          <w:trHeight w:val="270"/>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w:t>
            </w:r>
          </w:p>
        </w:tc>
        <w:tc>
          <w:tcPr>
            <w:tcW w:w="380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w:t>
            </w:r>
          </w:p>
        </w:tc>
      </w:tr>
    </w:tbl>
    <w:p>
      <w:pPr>
        <w:sectPr>
          <w:pgSz w:w="11900" w:h="16838" w:orient="portrait"/>
          <w:cols w:equalWidth="0" w:num="1">
            <w:col w:w="11240"/>
          </w:cols>
          <w:pgMar w:left="320" w:top="140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March 31, 2024,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526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2"/>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decimal"/>
      <w:start w:val="3"/>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lvl w:ilvl="1">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2"/>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lvl w:ilvl="1">
      <w:lvlJc w:val="left"/>
      <w:lvlText w:val="%2."/>
      <w:numFmt w:val="lowerLetter"/>
      <w:start w:val="1"/>
    </w:lvl>
  </w:abstractNum>
  <w:abstractNum w:abstractNumId="15">
    <w:nsid w:val="79A1DEAA"/>
    <w:multiLevelType w:val="hybridMultilevel"/>
    <w:lvl w:ilvl="0">
      <w:lvlJc w:val="left"/>
      <w:lvlText w:val="%1."/>
      <w:numFmt w:val="lowerLetter"/>
      <w:start w:val="2"/>
    </w:lvl>
  </w:abstractNum>
  <w:abstractNum w:abstractNumId="16">
    <w:nsid w:val="75C6C33A"/>
    <w:multiLevelType w:val="hybridMultilevel"/>
    <w:lvl w:ilvl="0">
      <w:lvlJc w:val="left"/>
      <w:lvlText w:val="%1."/>
      <w:numFmt w:val="decimal"/>
      <w:start w:val="4"/>
    </w:lvl>
  </w:abstractNum>
  <w:abstractNum w:abstractNumId="17">
    <w:nsid w:val="12E685FB"/>
    <w:multiLevelType w:val="hybridMultilevel"/>
    <w:lvl w:ilvl="0">
      <w:lvlJc w:val="left"/>
      <w:lvlText w:val="%1."/>
      <w:numFmt w:val="decimal"/>
      <w:start w:val="7"/>
    </w:lvl>
  </w:abstractNum>
  <w:abstractNum w:abstractNumId="18">
    <w:nsid w:val="70C6A529"/>
    <w:multiLevelType w:val="hybridMultilevel"/>
    <w:lvl w:ilvl="0">
      <w:lvlJc w:val="left"/>
      <w:lvlText w:val="%1."/>
      <w:numFmt w:val="decimal"/>
      <w:start w:val="11"/>
    </w:lvl>
  </w:abstractNum>
  <w:abstractNum w:abstractNumId="19">
    <w:nsid w:val="520EEDD1"/>
    <w:multiLevelType w:val="hybridMultilevel"/>
    <w:lvl w:ilvl="0">
      <w:lvlJc w:val="left"/>
      <w:lvlText w:val="%1."/>
      <w:numFmt w:val="decimal"/>
      <w:start w:val="19"/>
    </w:lvl>
  </w:abstractNum>
  <w:abstractNum w:abstractNumId="20">
    <w:nsid w:val="374A3FE6"/>
    <w:multiLevelType w:val="hybridMultilevel"/>
    <w:lvl w:ilvl="0">
      <w:lvlJc w:val="left"/>
      <w:lvlText w:val="%1."/>
      <w:numFmt w:val="decimal"/>
      <w:start w:val="23"/>
    </w:lvl>
  </w:abstractNum>
  <w:abstractNum w:abstractNumId="21">
    <w:nsid w:val="4F4EF005"/>
    <w:multiLevelType w:val="hybridMultilevel"/>
    <w:lvl w:ilvl="0">
      <w:lvlJc w:val="left"/>
      <w:lvlText w:val="%1."/>
      <w:numFmt w:val="decimal"/>
      <w:start w:val="1"/>
    </w:lvl>
    <w:lvl w:ilvl="1">
      <w:lvlJc w:val="left"/>
      <w:lvlText w:val="%2"/>
      <w:numFmt w:val="lowerLetter"/>
      <w:start w:val="1"/>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1."/>
      <w:numFmt w:val="lowerRoman"/>
      <w:start w:val="2"/>
    </w:lvl>
  </w:abstractNum>
  <w:abstractNum w:abstractNumId="24">
    <w:nsid w:val="275AC79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5">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Letter"/>
      <w:start w:val="1"/>
    </w:lvl>
  </w:abstractNum>
  <w:abstractNum w:abstractNumId="26">
    <w:nsid w:val="1CF10FD8"/>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Letter"/>
      <w:start w:val="1"/>
    </w:lvl>
  </w:abstractNum>
  <w:abstractNum w:abstractNumId="27">
    <w:nsid w:val="180115B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28">
    <w:nsid w:val="235BA86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29">
    <w:nsid w:val="47398C89"/>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30">
    <w:nsid w:val="354FE9F9"/>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31">
    <w:nsid w:val="15B5AF5C"/>
    <w:multiLevelType w:val="hybridMultilevel"/>
    <w:lvl w:ilvl="0">
      <w:lvlJc w:val="left"/>
      <w:lvlText w:val="%1."/>
      <w:numFmt w:val="lowerLetter"/>
      <w:start w:val="4"/>
    </w:lvl>
    <w:lvl w:ilvl="1">
      <w:lvlJc w:val="left"/>
      <w:lvlText w:val="%2"/>
      <w:numFmt w:val="lowerLetter"/>
      <w:start w:val="1"/>
    </w:lvl>
  </w:abstractNum>
  <w:abstractNum w:abstractNumId="32">
    <w:nsid w:val="741226BB"/>
    <w:multiLevelType w:val="hybridMultilevel"/>
    <w:lvl w:ilvl="0">
      <w:lvlJc w:val="left"/>
      <w:lvlText w:val="%1."/>
      <w:numFmt w:val="lowerRoman"/>
      <w:start w:val="2"/>
    </w:lvl>
  </w:abstractNum>
  <w:abstractNum w:abstractNumId="33">
    <w:nsid w:val="D34B6A8"/>
    <w:multiLevelType w:val="hybridMultilevel"/>
    <w:lvl w:ilvl="0">
      <w:lvlJc w:val="left"/>
      <w:lvlText w:val="%1."/>
      <w:numFmt w:val="lowerLetter"/>
      <w:start w:val="5"/>
    </w:lvl>
    <w:lvl w:ilvl="1">
      <w:lvlJc w:val="left"/>
      <w:lvlText w:val="%2."/>
      <w:numFmt w:val="lowerRoman"/>
      <w:start w:val="1"/>
    </w:lvl>
  </w:abstractNum>
  <w:abstractNum w:abstractNumId="34">
    <w:nsid w:val="10233C99"/>
    <w:multiLevelType w:val="hybridMultilevel"/>
    <w:lvl w:ilvl="0">
      <w:lvlJc w:val="left"/>
      <w:lvlText w:val="%1."/>
      <w:numFmt w:val="lowerLetter"/>
      <w:start w:val="6"/>
    </w:lvl>
  </w:abstractNum>
  <w:abstractNum w:abstractNumId="35">
    <w:nsid w:val="3F6AB60F"/>
    <w:multiLevelType w:val="hybridMultilevel"/>
    <w:lvl w:ilvl="0">
      <w:lvlJc w:val="left"/>
      <w:lvlText w:val="%1."/>
      <w:numFmt w:val="lowerRoman"/>
      <w:start w:val="1"/>
    </w:lvl>
  </w:abstractNum>
  <w:abstractNum w:abstractNumId="36">
    <w:nsid w:val="6157409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7">
    <w:nsid w:val="7E0C57B1"/>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8">
    <w:nsid w:val="77AE35EB"/>
    <w:multiLevelType w:val="hybridMultilevel"/>
    <w:lvl w:ilvl="0">
      <w:lvlJc w:val="left"/>
      <w:lvlText w:val="%1."/>
      <w:numFmt w:val="lowerLetter"/>
      <w:start w:val="7"/>
    </w:lvl>
    <w:lvl w:ilvl="1">
      <w:lvlJc w:val="left"/>
      <w:lvlText w:val="%2"/>
      <w:numFmt w:val="lowerLetter"/>
      <w:start w:val="1"/>
    </w:lvl>
  </w:abstractNum>
  <w:abstractNum w:abstractNumId="39">
    <w:nsid w:val="579BE4F1"/>
    <w:multiLevelType w:val="hybridMultilevel"/>
    <w:lvl w:ilvl="0">
      <w:lvlJc w:val="left"/>
      <w:lvlText w:val="%1."/>
      <w:numFmt w:val="lowerRoman"/>
      <w:start w:val="2"/>
    </w:lvl>
  </w:abstractNum>
  <w:abstractNum w:abstractNumId="40">
    <w:nsid w:val="310C50B3"/>
    <w:multiLevelType w:val="hybridMultilevel"/>
    <w:lvl w:ilvl="0">
      <w:lvlJc w:val="left"/>
      <w:lvlText w:val="%1."/>
      <w:numFmt w:val="lowerLetter"/>
      <w:start w:val="8"/>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1."/>
      <w:numFmt w:val="lowerRoman"/>
      <w:start w:val="2"/>
    </w:lvl>
  </w:abstractNum>
  <w:abstractNum w:abstractNumId="43">
    <w:nsid w:val="25A70BF7"/>
    <w:multiLevelType w:val="hybridMultilevel"/>
    <w:lvl w:ilvl="0">
      <w:lvlJc w:val="left"/>
      <w:lvlText w:val="%1."/>
      <w:numFmt w:val="lowerRoman"/>
      <w:start w:val="1"/>
    </w:lvl>
    <w:lvl w:ilvl="1">
      <w:lvlJc w:val="left"/>
      <w:lvlText w:val="%2."/>
      <w:numFmt w:val="lowerRoman"/>
      <w:start w:val="1"/>
    </w:lvl>
  </w:abstractNum>
  <w:abstractNum w:abstractNumId="44">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45">
    <w:nsid w:val="4AD084E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46">
    <w:nsid w:val="1F48EAA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49">
    <w:nsid w:val="100F8FCA"/>
    <w:multiLevelType w:val="hybridMultilevel"/>
    <w:lvl w:ilvl="0">
      <w:lvlJc w:val="left"/>
      <w:lvlText w:val="%1."/>
      <w:numFmt w:val="lowerLetter"/>
      <w:start w:val="11"/>
    </w:lvl>
    <w:lvl w:ilvl="1">
      <w:lvlJc w:val="left"/>
      <w:lvlText w:val="%2."/>
      <w:numFmt w:val="lowerLetter"/>
      <w:start w:val="9"/>
    </w:lvl>
    <w:lvl w:ilvl="2">
      <w:lvlJc w:val="left"/>
      <w:lvlText w:val="%3"/>
      <w:numFmt w:val="lowerLetter"/>
      <w:start w:val="1"/>
    </w:lvl>
  </w:abstractNum>
  <w:abstractNum w:abstractNumId="50">
    <w:nsid w:val="6590700B"/>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51">
    <w:nsid w:val="15014AC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52">
    <w:nsid w:val="5F5E7FD0"/>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53">
    <w:nsid w:val="98A3148"/>
    <w:multiLevelType w:val="hybridMultilevel"/>
    <w:lvl w:ilvl="0">
      <w:lvlJc w:val="left"/>
      <w:lvlText w:val="%1."/>
      <w:numFmt w:val="decimal"/>
      <w:start w:val="5"/>
    </w:lvl>
  </w:abstractNum>
  <w:abstractNum w:abstractNumId="54">
    <w:nsid w:val="799D0247"/>
    <w:multiLevelType w:val="hybridMultilevel"/>
    <w:lvl w:ilvl="0">
      <w:lvlJc w:val="left"/>
      <w:lvlText w:val="%1."/>
      <w:numFmt w:val="decimal"/>
      <w:start w:val="1"/>
    </w:lvl>
    <w:lvl w:ilvl="1">
      <w:lvlJc w:val="left"/>
      <w:lvlText w:val="%2"/>
      <w:numFmt w:val="lowerLetter"/>
      <w:start w:val="1"/>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1."/>
      <w:numFmt w:val="lowerRoman"/>
      <w:start w:val="2"/>
    </w:lvl>
  </w:abstractNum>
  <w:abstractNum w:abstractNumId="57">
    <w:nsid w:val="168E121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58">
    <w:nsid w:val="1EBA5D23"/>
    <w:multiLevelType w:val="hybridMultilevel"/>
    <w:lvl w:ilvl="0">
      <w:lvlJc w:val="left"/>
      <w:lvlText w:val="%1."/>
      <w:numFmt w:val="lowerRoman"/>
      <w:start w:val="3"/>
    </w:lvl>
  </w:abstractNum>
  <w:abstractNum w:abstractNumId="59">
    <w:nsid w:val="661E3F1E"/>
    <w:multiLevelType w:val="hybridMultilevel"/>
    <w:lvl w:ilvl="0">
      <w:lvlJc w:val="left"/>
      <w:lvlText w:val="%1."/>
      <w:numFmt w:val="lowerRoman"/>
      <w:start w:val="4"/>
    </w:lvl>
  </w:abstractNum>
  <w:abstractNum w:abstractNumId="60">
    <w:nsid w:val="5DC79EA8"/>
    <w:multiLevelType w:val="hybridMultilevel"/>
    <w:lvl w:ilvl="0">
      <w:lvlJc w:val="left"/>
      <w:lvlText w:val="%1."/>
      <w:numFmt w:val="lowerLetter"/>
      <w:start w:val="3"/>
    </w:lvl>
    <w:lvl w:ilvl="1">
      <w:lvlJc w:val="left"/>
      <w:lvlText w:val="%2."/>
      <w:numFmt w:val="lowerRoman"/>
      <w:start w:val="1"/>
    </w:lvl>
  </w:abstractNum>
  <w:abstractNum w:abstractNumId="61">
    <w:nsid w:val="540A471C"/>
    <w:multiLevelType w:val="hybridMultilevel"/>
    <w:lvl w:ilvl="0">
      <w:lvlJc w:val="left"/>
      <w:lvlText w:val="%1."/>
      <w:numFmt w:val="lowerRoman"/>
      <w:start w:val="3"/>
    </w:lvl>
  </w:abstractNum>
  <w:abstractNum w:abstractNumId="62">
    <w:nsid w:val="7BD3EE7B"/>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63">
    <w:nsid w:val="51D9C564"/>
    <w:multiLevelType w:val="hybridMultilevel"/>
    <w:lvl w:ilvl="0">
      <w:lvlJc w:val="left"/>
      <w:lvlText w:val="%1."/>
      <w:numFmt w:val="lowerLetter"/>
      <w:start w:val="4"/>
    </w:lvl>
    <w:lvl w:ilvl="1">
      <w:lvlJc w:val="left"/>
      <w:lvlText w:val="%2"/>
      <w:numFmt w:val="lowerLetter"/>
      <w:start w:val="1"/>
    </w:lvl>
  </w:abstractNum>
  <w:abstractNum w:abstractNumId="64">
    <w:nsid w:val="613EFDC5"/>
    <w:multiLevelType w:val="hybridMultilevel"/>
    <w:lvl w:ilvl="0">
      <w:lvlJc w:val="left"/>
      <w:lvlText w:val="%1."/>
      <w:numFmt w:val="lowerRoman"/>
      <w:start w:val="2"/>
    </w:lvl>
  </w:abstractNum>
  <w:abstractNum w:abstractNumId="65">
    <w:nsid w:val="BF72B14"/>
    <w:multiLevelType w:val="hybridMultilevel"/>
    <w:lvl w:ilvl="0">
      <w:lvlJc w:val="left"/>
      <w:lvlText w:val="%1."/>
      <w:numFmt w:val="lowerLetter"/>
      <w:start w:val="5"/>
    </w:lvl>
    <w:lvl w:ilvl="1">
      <w:lvlJc w:val="left"/>
      <w:lvlText w:val="%2."/>
      <w:numFmt w:val="lowerRoman"/>
      <w:start w:val="1"/>
    </w:lvl>
  </w:abstractNum>
  <w:abstractNum w:abstractNumId="66">
    <w:nsid w:val="11447B73"/>
    <w:multiLevelType w:val="hybridMultilevel"/>
    <w:lvl w:ilvl="0">
      <w:lvlJc w:val="left"/>
      <w:lvlText w:val="%1."/>
      <w:numFmt w:val="lowerLetter"/>
      <w:start w:val="6"/>
    </w:lvl>
    <w:lvl w:ilvl="1">
      <w:lvlJc w:val="left"/>
      <w:lvlText w:val="%2."/>
      <w:numFmt w:val="lowerRoman"/>
      <w:start w:val="1"/>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69">
    <w:nsid w:val="8F2B15E"/>
    <w:multiLevelType w:val="hybridMultilevel"/>
    <w:lvl w:ilvl="0">
      <w:lvlJc w:val="left"/>
      <w:lvlText w:val="%1."/>
      <w:numFmt w:val="lowerRoman"/>
      <w:start w:val="3"/>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70">
    <w:nsid w:val="1A32234B"/>
    <w:multiLevelType w:val="hybridMultilevel"/>
    <w:lvl w:ilvl="0">
      <w:lvlJc w:val="left"/>
      <w:lvlText w:val="%1."/>
      <w:numFmt w:val="lowerLetter"/>
      <w:start w:val="7"/>
    </w:lvl>
    <w:lvl w:ilvl="1">
      <w:lvlJc w:val="left"/>
      <w:lvlText w:val="%2"/>
      <w:numFmt w:val="lowerLetter"/>
      <w:start w:val="1"/>
    </w:lvl>
  </w:abstractNum>
  <w:abstractNum w:abstractNumId="71">
    <w:nsid w:val="3B0FD379"/>
    <w:multiLevelType w:val="hybridMultilevel"/>
    <w:lvl w:ilvl="0">
      <w:lvlJc w:val="left"/>
      <w:lvlText w:val="%1."/>
      <w:numFmt w:val="lowerRoman"/>
      <w:start w:val="2"/>
    </w:lvl>
  </w:abstractNum>
  <w:abstractNum w:abstractNumId="72">
    <w:nsid w:val="68EB2F63"/>
    <w:multiLevelType w:val="hybridMultilevel"/>
    <w:lvl w:ilvl="0">
      <w:lvlJc w:val="left"/>
      <w:lvlText w:val="%1."/>
      <w:numFmt w:val="lowerLetter"/>
      <w:start w:val="8"/>
    </w:lvl>
    <w:lvl w:ilvl="1">
      <w:lvlJc w:val="left"/>
      <w:lvlText w:val="%2"/>
      <w:numFmt w:val="lowerLetter"/>
      <w:start w:val="1"/>
    </w:lvl>
  </w:abstractNum>
  <w:abstractNum w:abstractNumId="73">
    <w:nsid w:val="4962813B"/>
    <w:multiLevelType w:val="hybridMultilevel"/>
    <w:lvl w:ilvl="0">
      <w:lvlJc w:val="left"/>
      <w:lvlText w:val="%1."/>
      <w:numFmt w:val="lowerRoman"/>
      <w:start w:val="2"/>
    </w:lvl>
  </w:abstractNum>
  <w:abstractNum w:abstractNumId="74">
    <w:nsid w:val="60B6DF70"/>
    <w:multiLevelType w:val="hybridMultilevel"/>
    <w:lvl w:ilvl="0">
      <w:lvlJc w:val="left"/>
      <w:lvlText w:val="%1."/>
      <w:numFmt w:val="lowerRoman"/>
      <w:start w:val="1"/>
    </w:lvl>
    <w:lvl w:ilvl="1">
      <w:lvlJc w:val="left"/>
      <w:lvlText w:val="%2."/>
      <w:numFmt w:val="lowerRoman"/>
      <w:start w:val="1"/>
    </w:lvl>
  </w:abstractNum>
  <w:abstractNum w:abstractNumId="75">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6">
    <w:nsid w:val="14330624"/>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77">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1"/>
    </w:lvl>
  </w:abstractNum>
  <w:abstractNum w:abstractNumId="80">
    <w:nsid w:val="100F59DC"/>
    <w:multiLevelType w:val="hybridMultilevel"/>
    <w:lvl w:ilvl="0">
      <w:lvlJc w:val="left"/>
      <w:lvlText w:val="%1."/>
      <w:numFmt w:val="lowerRoman"/>
      <w:start w:val="1"/>
    </w:lvl>
  </w:abstractNum>
  <w:abstractNum w:abstractNumId="81">
    <w:nsid w:val="7FB7E0AA"/>
    <w:multiLevelType w:val="hybridMultilevel"/>
    <w:lvl w:ilvl="0">
      <w:lvlJc w:val="left"/>
      <w:lvlText w:val="%1."/>
      <w:numFmt w:val="lowerRoman"/>
      <w:start w:val="2"/>
    </w:lvl>
    <w:lvl w:ilvl="1">
      <w:lvlJc w:val="left"/>
      <w:lvlText w:val="(%2)"/>
      <w:numFmt w:val="lowerLetter"/>
      <w:start w:val="1"/>
    </w:lvl>
  </w:abstractNum>
  <w:abstractNum w:abstractNumId="82">
    <w:nsid w:val="6EB5BD4"/>
    <w:multiLevelType w:val="hybridMultilevel"/>
    <w:lvl w:ilvl="0">
      <w:lvlJc w:val="left"/>
      <w:lvlText w:val="%1"/>
      <w:numFmt w:val="lowerRoman"/>
      <w:start w:val="1"/>
    </w:lvl>
    <w:lvl w:ilvl="1">
      <w:lvlJc w:val="left"/>
      <w:lvlText w:val="(%2)"/>
      <w:numFmt w:val="lowerLetter"/>
      <w:start w:val="3"/>
    </w:lvl>
  </w:abstractNum>
  <w:abstractNum w:abstractNumId="83">
    <w:nsid w:val="6F6DD9AC"/>
    <w:multiLevelType w:val="hybridMultilevel"/>
    <w:lvl w:ilvl="0">
      <w:lvlJc w:val="left"/>
      <w:lvlText w:val="%1."/>
      <w:numFmt w:val="decimal"/>
      <w:start w:val="3"/>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7" Type="http://schemas.openxmlformats.org/officeDocument/2006/relationships/hyperlink" Target="https://www.sec.gov/Archives/edgar/data/1434868/000104746913006896/a2215641zex-3_2.htm" TargetMode="External"/><Relationship Id="rId58" Type="http://schemas.openxmlformats.org/officeDocument/2006/relationships/hyperlink" Target="https://www.sec.gov/Archives/edgar/data/1434868/000162828022015488/exhibit31.htm" TargetMode="External"/><Relationship Id="rId59" Type="http://schemas.openxmlformats.org/officeDocument/2006/relationships/hyperlink" Target="https://www.sec.gov/Archives/edgar/data/1434868/000162828022025245/exhibit31certificateofvali.htm" TargetMode="External"/><Relationship Id="rId60" Type="http://schemas.openxmlformats.org/officeDocument/2006/relationships/hyperlink" Target="https://www.sec.gov/Archives/edgar/data/1434868/000162828023022276/exhibit3162023.htm" TargetMode="External"/><Relationship Id="rId61" Type="http://schemas.openxmlformats.org/officeDocument/2006/relationships/hyperlink" Target="https://www.sec.gov/Archives/edgar/data/1434868/000162828021008918/ex31-secondamendedandresta.htm" TargetMode="External"/><Relationship Id="rId62" Type="http://schemas.openxmlformats.org/officeDocument/2006/relationships/hyperlink" Target="https://www.sec.gov/Archives/edgar/data/1434868/000104746913006896/a2215641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2024-05-07T08:00:48Z</dcterms:created>
  <dcterms:modified xsi:type="dcterms:W3CDTF">2024-05-07T08:00:48Z</dcterms:modified>
</cp:coreProperties>
</file>