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1"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7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Commission file number: 001-35986</w:t>
            </w:r>
          </w:p>
        </w:tc>
        <w:tc>
          <w:tcPr>
            <w:tcW w:w="4300" w:type="dxa"/>
            <w:vAlign w:val="bottom"/>
          </w:tcPr>
          <w:p>
            <w:pPr>
              <w:spacing w:after="0"/>
              <w:rPr>
                <w:sz w:val="24"/>
                <w:szCs w:val="24"/>
                <w:color w:val="auto"/>
              </w:rPr>
            </w:pPr>
          </w:p>
        </w:tc>
      </w:tr>
      <w:tr>
        <w:trPr>
          <w:trHeight w:val="411"/>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32"/>
                <w:szCs w:val="32"/>
                <w:b w:val="1"/>
                <w:bCs w:val="1"/>
                <w:color w:val="auto"/>
              </w:rPr>
              <w:t>Esperion Therapeutics, Inc.</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b w:val="1"/>
                <w:bCs w:val="1"/>
                <w:color w:val="auto"/>
              </w:rPr>
              <w:t>26-1870780</w:t>
            </w:r>
          </w:p>
        </w:tc>
      </w:tr>
      <w:tr>
        <w:trPr>
          <w:trHeight w:val="168"/>
        </w:trPr>
        <w:tc>
          <w:tcPr>
            <w:tcW w:w="3680" w:type="dxa"/>
            <w:vAlign w:val="bottom"/>
          </w:tcPr>
          <w:p>
            <w:pPr>
              <w:jc w:val="center"/>
              <w:ind w:left="1642"/>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20" w:type="dxa"/>
            <w:vAlign w:val="bottom"/>
          </w:tcPr>
          <w:p>
            <w:pPr>
              <w:spacing w:after="0"/>
              <w:rPr>
                <w:sz w:val="18"/>
                <w:szCs w:val="18"/>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3891 Ranchero Drive, Suite 150</w:t>
            </w:r>
          </w:p>
        </w:tc>
        <w:tc>
          <w:tcPr>
            <w:tcW w:w="4300" w:type="dxa"/>
            <w:vAlign w:val="bottom"/>
          </w:tcPr>
          <w:p>
            <w:pPr>
              <w:spacing w:after="0"/>
              <w:rPr>
                <w:sz w:val="24"/>
                <w:szCs w:val="24"/>
                <w:color w:val="auto"/>
              </w:rPr>
            </w:pPr>
          </w:p>
        </w:tc>
      </w:tr>
      <w:tr>
        <w:trPr>
          <w:trHeight w:val="204"/>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08"/>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4300" w:type="dxa"/>
            <w:vAlign w:val="bottom"/>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300" w:type="dxa"/>
            <w:vAlign w:val="bottom"/>
          </w:tcPr>
          <w:p>
            <w:pPr>
              <w:spacing w:after="0"/>
              <w:rPr>
                <w:sz w:val="18"/>
                <w:szCs w:val="18"/>
                <w:color w:val="auto"/>
              </w:rPr>
            </w:pPr>
          </w:p>
        </w:tc>
      </w:tr>
      <w:tr>
        <w:trPr>
          <w:trHeight w:val="307"/>
        </w:trPr>
        <w:tc>
          <w:tcPr>
            <w:tcW w:w="3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5"/>
        </w:trPr>
        <w:tc>
          <w:tcPr>
            <w:tcW w:w="368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Stock Market LLC</w:t>
            </w:r>
          </w:p>
        </w:tc>
      </w:tr>
    </w:tbl>
    <w:p>
      <w:pPr>
        <w:spacing w:after="0" w:line="102"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240"/>
        <w:spacing w:after="0" w:line="25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ind w:right="1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10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o</w:t>
      </w:r>
    </w:p>
    <w:p>
      <w:pPr>
        <w:spacing w:after="0" w:line="86" w:lineRule="exact"/>
        <w:rPr>
          <w:sz w:val="24"/>
          <w:szCs w:val="24"/>
          <w:color w:val="auto"/>
        </w:rPr>
      </w:pPr>
    </w:p>
    <w:p>
      <w:pPr>
        <w:sectPr>
          <w:pgSz w:w="11900" w:h="16838" w:orient="portrait"/>
          <w:cols w:equalWidth="0" w:num="2">
            <w:col w:w="6800" w:space="720"/>
            <w:col w:w="37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76" w:lineRule="exact"/>
        <w:rPr>
          <w:sz w:val="24"/>
          <w:szCs w:val="24"/>
          <w:color w:val="auto"/>
        </w:rPr>
      </w:pPr>
    </w:p>
    <w:p>
      <w:pPr>
        <w:sectPr>
          <w:pgSz w:w="11900" w:h="16838" w:orient="portrait"/>
          <w:cols w:equalWidth="0" w:num="3">
            <w:col w:w="6080" w:space="720"/>
            <w:col w:w="1760" w:space="80"/>
            <w:col w:w="2600"/>
          </w:cols>
          <w:pgMar w:left="320" w:top="988" w:right="339"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988" w:right="339" w:bottom="1440" w:gutter="0" w:footer="0" w:header="0"/>
          <w:type w:val="continuous"/>
        </w:sectPr>
      </w:pPr>
    </w:p>
    <w:p>
      <w:pPr>
        <w:spacing w:after="0" w:line="113"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266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November 1, 2024, there were 197,035,171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398780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424180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20" w:type="dxa"/>
            <w:vAlign w:val="bottom"/>
            <w:gridSpan w:val="10"/>
            <w:vMerge w:val="restart"/>
          </w:tcPr>
          <w:p>
            <w:pPr>
              <w:jc w:val="center"/>
              <w:ind w:right="2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10"/>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00" w:type="dxa"/>
            <w:vAlign w:val="bottom"/>
            <w:gridSpan w:val="3"/>
          </w:tcPr>
          <w:p>
            <w:pPr>
              <w:spacing w:after="0"/>
              <w:rPr>
                <w:sz w:val="24"/>
                <w:szCs w:val="24"/>
                <w:color w:val="auto"/>
              </w:rPr>
            </w:pPr>
          </w:p>
        </w:tc>
        <w:tc>
          <w:tcPr>
            <w:tcW w:w="3240" w:type="dxa"/>
            <w:vAlign w:val="bottom"/>
            <w:tcBorders>
              <w:top w:val="single" w:sz="8" w:color="0000FF"/>
            </w:tcBorders>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Balance Sheets at September 30, 2024 and December 31, 2023</w:t>
            </w:r>
          </w:p>
        </w:tc>
        <w:tc>
          <w:tcPr>
            <w:tcW w:w="4060" w:type="dxa"/>
            <w:vAlign w:val="bottom"/>
            <w:gridSpan w:val="7"/>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and nine month periods ended September 30, 2024</w:t>
            </w:r>
          </w:p>
        </w:tc>
        <w:tc>
          <w:tcPr>
            <w:tcW w:w="11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8220" w:type="dxa"/>
            <w:vAlign w:val="bottom"/>
            <w:tcBorders>
              <w:top w:val="single" w:sz="8" w:color="0000FF"/>
            </w:tcBorders>
            <w:gridSpan w:val="14"/>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 for the three and nine month periods ended September 30, 2024 and 2023</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for the nine month periods ended September 30, 2024 and 2023</w:t>
            </w:r>
          </w:p>
        </w:tc>
        <w:tc>
          <w:tcPr>
            <w:tcW w:w="14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208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2"/>
          </w:tcPr>
          <w:p>
            <w:pPr>
              <w:spacing w:after="0"/>
              <w:rPr>
                <w:sz w:val="24"/>
                <w:szCs w:val="24"/>
                <w:color w:val="auto"/>
              </w:rPr>
            </w:pP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02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20" w:type="dxa"/>
            <w:vAlign w:val="bottom"/>
            <w:tcBorders>
              <w:left w:val="single" w:sz="8" w:color="0000FF"/>
            </w:tcBorders>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5.</w:t>
            </w:r>
          </w:p>
        </w:tc>
        <w:tc>
          <w:tcPr>
            <w:tcW w:w="95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3"/>
          </w:tcPr>
          <w:p>
            <w:pPr>
              <w:spacing w:after="0"/>
              <w:rPr>
                <w:sz w:val="24"/>
                <w:szCs w:val="24"/>
                <w:color w:val="auto"/>
              </w:rPr>
            </w:pPr>
          </w:p>
        </w:tc>
        <w:tc>
          <w:tcPr>
            <w:tcW w:w="82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9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40" w:type="dxa"/>
            <w:vAlign w:val="bottom"/>
          </w:tcPr>
          <w:p>
            <w:pPr>
              <w:spacing w:after="0"/>
              <w:rPr>
                <w:sz w:val="24"/>
                <w:szCs w:val="24"/>
                <w:color w:val="auto"/>
              </w:rPr>
            </w:pPr>
          </w:p>
        </w:tc>
        <w:tc>
          <w:tcPr>
            <w:tcW w:w="8920" w:type="dxa"/>
            <w:vAlign w:val="bottom"/>
            <w:gridSpan w:val="17"/>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spacing w:after="0" w:line="18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We use various trademarks and trade names in our business, including without limitation our corporate name and logo.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and trade names in this Quarterly Report on Form 10-Q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201,065</w:t>
            </w:r>
          </w:p>
        </w:tc>
      </w:tr>
      <w:tr>
        <w:trPr>
          <w:trHeight w:val="203"/>
        </w:trPr>
        <w:tc>
          <w:tcPr>
            <w:tcW w:w="8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clinical development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34,284</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sale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156,224</w:t>
            </w: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Royalty sale liability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660,790</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and no shares issued or outstanding as of</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$0.001 par value; 480,000,000 shares authorized as of September 30, 2024 and 480,000,000</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shares authorized as of December 31, 2023; 197,434,696 shares issued at September 30, 2024 and 120,204,513</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at December 31, 2023</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1,149,170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1,994,198 shares at September 30, 2024 and December 31, 2023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(1,549,284)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(454,994)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205,796</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57,575</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84,084</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00" w:type="dxa"/>
            <w:vAlign w:val="bottom"/>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68,365</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97,100</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197,280</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(113,196)</w:t>
            </w:r>
          </w:p>
        </w:tc>
        <w:tc>
          <w:tcPr>
            <w:tcW w:w="100" w:type="dxa"/>
            <w:vAlign w:val="bottom"/>
          </w:tcPr>
          <w:p>
            <w:pPr>
              <w:spacing w:after="0"/>
              <w:rPr>
                <w:sz w:val="19"/>
                <w:szCs w:val="19"/>
                <w:color w:val="auto"/>
              </w:rPr>
            </w:pPr>
          </w:p>
        </w:tc>
      </w:tr>
      <w:tr>
        <w:trPr>
          <w:trHeight w:val="270"/>
        </w:trPr>
        <w:tc>
          <w:tcPr>
            <w:tcW w:w="5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(43,919)</w:t>
            </w: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76"/>
        </w:trPr>
        <w:tc>
          <w:tcPr>
            <w:tcW w:w="5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2"/>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0"/>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194,930,830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111,869,478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184,366,434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99,973,647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74,570,198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(323,778)</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stock units and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warrants, and pre-funded warrants,</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issuance 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87,242,969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1,127,004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(1,401,755)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(329,663)</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ATM program, net of issuance 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3,312,908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(371,978)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223,490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112,136,447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2"/>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118,210,315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(454,994)</w:t>
            </w: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stock units and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8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performance-based restricted stock</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90,672</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187,855,098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1,248,774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(1,488,262)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(294,298)</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194,625,408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436,188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ATM program,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195,440,498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1,264,305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(370,209)</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(152,904)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loss on extinguishment of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royalty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premiums and discounts on investments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 related to the revenue interest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34,703</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 expense related to the royalty sale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w:t>
            </w: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(8,894)</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Prepaids and other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13,902</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sales/maturities of investments</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revenue interest liability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revenue interest liability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royalty sale liability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royalty sale liability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warrants, and pre-funded warrants, net of issuance costs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52,428</w:t>
            </w: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from ATM program, net of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warrants, net of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pre-funded warrants</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45,989</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124,775</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114,833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 costs not yet paid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right of use asset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right="7980" w:firstLine="8"/>
        <w:spacing w:after="0" w:line="490"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 The Company</w:t>
      </w:r>
    </w:p>
    <w:p>
      <w:pPr>
        <w:ind w:right="20"/>
        <w:spacing w:after="0" w:line="242" w:lineRule="auto"/>
        <w:rPr>
          <w:sz w:val="20"/>
          <w:szCs w:val="20"/>
          <w:color w:val="auto"/>
        </w:rPr>
      </w:pPr>
      <w:r>
        <w:rPr>
          <w:rFonts w:ascii="Times New Roman" w:cs="Times New Roman" w:eastAsia="Times New Roman" w:hAnsi="Times New Roman"/>
          <w:sz w:val="18"/>
          <w:szCs w:val="18"/>
          <w:color w:val="auto"/>
        </w:rPr>
        <w:t>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and are struggling with elevated low density lipoprotein cholesterol ("LDL-C"). Through commercial execution, international partnerships and collaborations and advancement of its pre-clinical pipeline, the Company continues to evolve into a leading global biopharmaceutical company.</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cardiovascular disease ("CVD"), or at high risk for a CVD event but without established CVD, and to reduce LDL-C in adults with primary hyperlipidemia. The Company's products were approved by the FDA, European Medicines Agency ("EMA") and Swiss Agency for Therapeutic Products ("Swissmedic") in 2020. The FDA approved expanded indications for NEXLETOL and NEXLIZET tablets in March 2024. The EMA approved expanded indications for NILEMDO® (bempedoic acid) tablets and NUSTENDI® (bempedoic acid and ezetimibe) tablets in May 2024. In addition, Otsuka Pharmaceutical Co., Ltd ("Otsuka"), Esperion’s Japanese collaborator, announced that the primary endpoint of LDL-C reduction from baseline at Week 12 was achieved with statistical significance in the Phase 3 clinical trial in Japan for bempedoic acid as a treatment for hypercholesterolemia. Otsuka plans to file a New Drug Application ("NDA") in Japan by the end of 2024, with expected approval and National Health Insurance ("NHI") pricing in 2025. The Company plans to file supplemental New Drug Applications for product approvals in Canada in the fourth quarter of 2024 and in Australia and Israel in the first half of 2025.</w:t>
      </w:r>
    </w:p>
    <w:p>
      <w:pPr>
        <w:spacing w:after="0" w:line="2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The Company completed a global cardiovascular outcomes trial ("CVOT"), —known as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holesterol </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owering via B</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mpedoic Acid, an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CL-inhibiting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egimen ("CLEAR") Outcomes. The trial was designed to evaluate whether treatment with bempedoic acid reduced the risk of cardiovascular events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who are statin averse and who have CVD or are at high risk for CVD. The Company initiated the CLEAR Outcomes CVOT in December 2016 and fully enrolled the study with nearly 14,000 patients in August 2019. The primary endpoint of the study was the effect of bempedoic acid on four types of major adverse cardiovascular events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proven to lower hard ischemic events, not only in those with atherosclerotic cardiovascular disease ("ASCVD") but also in the large number of primary prevention patients for whom limited therapies exist.</w:t>
      </w:r>
    </w:p>
    <w:p>
      <w:pPr>
        <w:spacing w:after="0" w:line="19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January 2, 2024, the Company entered into a settlement agreement with Daiichi Sankyo Europe GmbH ("DSE") to amicably resolve and dismiss the commercial dispute then pending in the Southern District of New York ("Settlement Agreement"). Under the Settlement Agreement, DSE agreed to pay the Company an aggregate of $125.0 million, including (1) a $100.0-million payment within 15 business days of the effective date of the Settlement Agreement and (2) a $25.0-million payment received in the second quarter of 2024 after the EMA rendered a decision on the application that was filed with the EMA for a Type II(a) variation for the Company's oral non-statin products marketed as NILEMDO tablets and NUSTENDI tablets in Europe. The legal action pending in the United States District Court for the Southern District of New York has now been dismissed. Refer to Note 3 "Collaborations with Third Parties" and Note 5 "Commitments and Contingencies"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On January 18, 2024, the Company entered into an Underwriting Agreement (the "Underwriting Agreement") with Jefferies LLC ("Jefferies"), as representative of several underwriters (the "Underwriters"), related to an underwritten public offering (the "January 2024 Offering") of 56,700,000 shares of Common Stock of the Company, par value $0.001 per share, at a purchase price to the public of $1.50 per share. The Underwriters were also granted a</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w:t>
      </w:r>
    </w:p>
    <w:p>
      <w:pPr>
        <w:spacing w:after="0" w:line="17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w:t>
      </w:r>
    </w:p>
    <w:p>
      <w:pPr>
        <w:spacing w:after="0" w:line="21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On May 22, 2024, the Company announced that the European Commission ("EC") approved the label update of both NILEMDO and NUSTENDI as treatments for hypercholesterolemia and to reduce the risk of adverse cardiovascular events. The EC’s decisions to update the labels of bempedoic acid and the bempedoic acid / ezetimibe fixed dose combination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atherosclerotic cardiovascular disease.</w:t>
      </w:r>
    </w:p>
    <w:p>
      <w:pPr>
        <w:spacing w:after="0" w:line="21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On June 27, 2024, the Company entered into a Royalty Purchase Agreement (the “Purchase Agreement”) with OCM IP Healthcare Portfolio LP (“OMERS”), a limited partnership formed under the laws of the Province of Ontario, Canada (the “Purchaser”). Pursuant to the Purchase Agreement, the Company sold to the Purchaser, and the Purchaser purchased for $304,656,180,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w:t>
      </w:r>
    </w:p>
    <w:p>
      <w:pPr>
        <w:spacing w:after="0" w:line="217" w:lineRule="exact"/>
        <w:rPr>
          <w:sz w:val="20"/>
          <w:szCs w:val="20"/>
          <w:color w:val="auto"/>
        </w:rPr>
      </w:pPr>
    </w:p>
    <w:p>
      <w:pPr>
        <w:jc w:val="both"/>
        <w:ind w:right="100"/>
        <w:spacing w:after="0"/>
        <w:rPr>
          <w:sz w:val="20"/>
          <w:szCs w:val="20"/>
          <w:color w:val="auto"/>
        </w:rPr>
      </w:pPr>
      <w:r>
        <w:rPr>
          <w:rFonts w:ascii="Times New Roman" w:cs="Times New Roman" w:eastAsia="Times New Roman" w:hAnsi="Times New Roman"/>
          <w:sz w:val="18"/>
          <w:szCs w:val="18"/>
          <w:color w:val="auto"/>
        </w:rPr>
        <w:t>The Purchaser acquired 100% of the Royalty Interests until such time as the Purchaser has received an aggregate amount equal to 1.700x of the Purchase Price (equivalent to $517,915,506). Following receipt of such amount, 100% of all Royalty Interests will revert to the Company. The Purchase Agreement contains other customary terms and conditions, including representations and warranties, covenants and indemnification obligations in favor of each party. Refer to Note 9 "Sale of Future Royalties" for further information.</w:t>
      </w:r>
    </w:p>
    <w:p>
      <w:pPr>
        <w:spacing w:after="0" w:line="212"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7"/>
          <w:szCs w:val="17"/>
          <w:color w:val="auto"/>
        </w:rPr>
        <w:t>On June 27, 2024, the Company repurchased Revenue Interests outstanding under the Revenue Interest Purchase Agreement (the “RIPA”), dated effective as of June 26, 2019, as amended, by and among the Company, the purchasers party thereto (the “Purchasers”), and Eiger III SA LLC ("Oberland"), as the collateral agent and administrative agent (the “Purchaser Agent”), and satisfied all other Obligations (as defined in the RIPA) owed to the Purchasers and the Purchaser Agent by paying to the Purchaser Agent, for the benefit of the Purchasers, a payment in cash of $343,750,000 (the “Repurchase</w:t>
      </w:r>
    </w:p>
    <w:p>
      <w:pPr>
        <w:ind w:right="120"/>
        <w:spacing w:after="0" w:line="243" w:lineRule="auto"/>
        <w:rPr>
          <w:sz w:val="20"/>
          <w:szCs w:val="20"/>
          <w:color w:val="auto"/>
        </w:rPr>
      </w:pPr>
      <w:r>
        <w:rPr>
          <w:rFonts w:ascii="Times New Roman" w:cs="Times New Roman" w:eastAsia="Times New Roman" w:hAnsi="Times New Roman"/>
          <w:sz w:val="17"/>
          <w:szCs w:val="17"/>
          <w:color w:val="auto"/>
        </w:rPr>
        <w:t>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w:t>
      </w:r>
    </w:p>
    <w:p>
      <w:pPr>
        <w:spacing w:after="0" w:line="1"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18"/>
          <w:szCs w:val="18"/>
          <w:color w:val="auto"/>
        </w:rPr>
        <w:t xml:space="preserve">Documents were automatically terminated and released. </w:t>
      </w:r>
      <w:r>
        <w:rPr>
          <w:rFonts w:ascii="Times New Roman" w:cs="Times New Roman" w:eastAsia="Times New Roman" w:hAnsi="Times New Roman"/>
          <w:sz w:val="21"/>
          <w:szCs w:val="21"/>
          <w:color w:val="auto"/>
        </w:rPr>
        <w:t>R</w:t>
      </w:r>
      <w:r>
        <w:rPr>
          <w:rFonts w:ascii="Times New Roman" w:cs="Times New Roman" w:eastAsia="Times New Roman" w:hAnsi="Times New Roman"/>
          <w:sz w:val="18"/>
          <w:szCs w:val="18"/>
          <w:color w:val="auto"/>
        </w:rPr>
        <w:t>efer to Note 8 "Liability Related to the Revenue Interest Purchase Agreement" for further information.</w:t>
      </w:r>
    </w:p>
    <w:p>
      <w:pPr>
        <w:spacing w:after="0" w:line="19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its management, commercial and scientific staff; and finance its operations with an ultimate goal of achieving profitable operations.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foreseeable future. While management believes current cash resources and future cash received from the Company's net product sales and collaboration agreements with DSE, Otsuka, and Daiichi Sankyo Co. Ltd ("DS"), entered into on January 2, 2019,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debt financings, royalty-based financings, and private and public equity offerings or through other sources. If adequate funds are not available, the Company may not be able to continue the development of its current products or future product candidates, or to commercialize its current or future product candidates, if approved.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2023, and the notes thereto, which are included in the Company’s Annual Report on Form 10-K for the year ended December 31, 2023. The results of operations for the interim periods are not necessarily indicative of the results to be expected for a full year, any other interim periods or any future year or period.</w:t>
      </w:r>
    </w:p>
    <w:p>
      <w:pPr>
        <w:spacing w:after="0" w:line="188" w:lineRule="exact"/>
        <w:rPr>
          <w:sz w:val="20"/>
          <w:szCs w:val="20"/>
          <w:color w:val="auto"/>
        </w:rPr>
      </w:pPr>
    </w:p>
    <w:p>
      <w:pPr>
        <w:ind w:right="7660" w:firstLine="8"/>
        <w:spacing w:after="0" w:line="50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6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in the United States requires management to make estimates and assumptions that affect the reported amounts of assets, liabilities, net revenues, expenses and related disclosures.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distribution agreements with distributors and specialty pharmacies. The Company's net product sales are with these customers. As of September 30, 2024 and December 31, 2023, eleven customers accounted for all of the Company's net trade receivables. As of September 30, 2024 and December 31, 2023, three customers held approximately 98% and 96% of the Company's trade receivables associated with net product sales, respectively. For the nine months ended September 30, 2024 and 2023, three customers accounted for approximately 98% and 95% of gross sales of NEXLETOL and NEXLIZET,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spacing w:after="0" w:line="18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income (loss).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 On May 22, 2024, the Company announced that the EC approved the label update of both NILEMDO and NUSTENDI as treatments for hypercholesterolemia and to reduce the risk of adverse cardiovascular events. The EC’s decisions to update the labels of bempedoic acid and bempedoic acid / ezetimibe FDC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atherosclerotic cardiovascular disease.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Product sales, net totaled $31.1 million and $84.2 million, respectively, for the three and nine months ended September 30, 2024, and $20.3 million and $57.6 million, respectively, for the three and nine months ended September 30, 2023.</w:t>
      </w:r>
    </w:p>
    <w:p>
      <w:pPr>
        <w:spacing w:after="0" w:line="23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Liabilities for co-pay assistance, expected product returns, rebates, and distributor fees are classified as “Accrued variable consideration” in the condensed balance sheets. Discounts, such as prompt pay discounts, and chargebacks are recorded as a reduction to accounts receivable in the condensed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73"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estimates and records distribution fees due to its customers based on gross sales.</w:t>
      </w:r>
    </w:p>
    <w:p>
      <w:pPr>
        <w:spacing w:after="0" w:line="158"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The Company estimates the amount of product sales that may be returned and records the estimate as a reduction of product sales in the period the related product sales is recognized. The Company’s estimates for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returns are based primarily on an ongoing analysis of sales information and visibility into the inventory remaining in the distribution channel.</w:t>
      </w:r>
    </w:p>
    <w:p>
      <w:pPr>
        <w:spacing w:after="0" w:line="223"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62"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treats the sale of future DSE royalties as debt, amortized under the effective interest rate method over the estimated life of the royalty sale agreement. The royalty sale liability is presented net of deferred issuance costs on the balance sheets. The amortization of the liability related to future royalties and related interest expense are based on the Company's current estimates of future royalties, which the Company determines by using third-party forecasts of sales and other relevant information.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recognize the related non-cash interest expense. Royalty revenue is recognized and the related liability reduced as earned.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280): Improvements to Reportable Segment Disclosures</w:t>
      </w:r>
      <w:r>
        <w:rPr>
          <w:rFonts w:ascii="Times New Roman" w:cs="Times New Roman" w:eastAsia="Times New Roman" w:hAnsi="Times New Roman"/>
          <w:sz w:val="17"/>
          <w:szCs w:val="17"/>
          <w:color w:val="auto"/>
        </w:rPr>
        <w:t>. ASU 2023-07 requires a public entity to disclose, on an annual and interim basis,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segment expenses that are included within each reported measure of segment profit or loss and regularly reviewed by the chief operating decision maker ("CODM"), the title and position of the CODM, clarification regarding the CODM's use of multiple measures of a segment's profit or loss in assessing segment performance (this must include a measure that is consistent with the measurement principles under U.S. GAAP, but may also include additional measures of a segment's profit or loss), and a description of the composition of amounts within an "Other" segment line item. Further, ASU 2023-07 requires that all annual disclosures about a reportable segment's profit or loss and assets currently required by Topic 280 to be provided in interim periods. This update is effective for fiscal years beginning after December 15, 2023, and interim periods within fiscal years beginning after December 15, 2024. ASU 2023-07 should be adopted retrospectively to all periods presented in the financial statements and early adoption is permitted. The Company is currently in the process of determining the impact the implementation of ASU 2023-07 will have on the Company’s financial statement disclosures.</w:t>
      </w:r>
    </w:p>
    <w:p>
      <w:pPr>
        <w:spacing w:after="0" w:line="199"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enhances income tax disclosures to further disaggregate the effective tax rate reconciliation and income taxes paid. This update is effective for fiscal years beginning after December 15, 2024. ASU 2023-09 should be adopted prospectively, but retrospective application is permitted. Further, early adoption is permitted. The Company is currently in the process of determining the impact the implementation of ASU 2023-09 will have on the Company’s financial statement disclosures.</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 Disaggregation of Income Statement Expenses</w:t>
      </w:r>
      <w:r>
        <w:rPr>
          <w:rFonts w:ascii="Times New Roman" w:cs="Times New Roman" w:eastAsia="Times New Roman" w:hAnsi="Times New Roman"/>
          <w:sz w:val="17"/>
          <w:szCs w:val="17"/>
          <w:color w:val="auto"/>
        </w:rPr>
        <w:t>. ASU 2024-03 requires public companies to disclose specified information about certain costs and</w:t>
      </w:r>
    </w:p>
    <w:p>
      <w:pPr>
        <w:spacing w:after="0" w:line="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expenses, including purchases of inventory, employee compensation, selling expenses, and depreciation, at each interim and annual reporting period. This update is effective for annual reporting periods beginning after December 15, 2026, and interim reporting periods beginning after December 15, 2027. Further, early adoption is permitted. The Company is currently in the process of determining the impact the implementation of ASU 2024-03 will have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Annual Report on Form 10-K for the fiscal year ended December 31, 2023.</w:t>
      </w:r>
    </w:p>
    <w:p>
      <w:pPr>
        <w:spacing w:after="0" w:line="158" w:lineRule="exact"/>
        <w:rPr>
          <w:sz w:val="20"/>
          <w:szCs w:val="20"/>
          <w:color w:val="auto"/>
        </w:rPr>
      </w:pPr>
    </w:p>
    <w:p>
      <w:pPr>
        <w:ind w:right="8400" w:firstLine="8"/>
        <w:spacing w:after="0" w:line="495"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further amended on June 18, 2020, and January</w:t>
      </w:r>
    </w:p>
    <w:p>
      <w:pPr>
        <w:spacing w:after="0" w:line="3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2, 2024 (as amended, the “DSE Agreement”). Pursuant to the DSE Agreement, the Company granted DSE exclusive commercialization rights to bempedoic acid and the bempedoic acid / ezetimibe combination tablet in the European Economic Area, United Kingdom, Turkey, and Switzerland (collectively, the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Pursuant to the DSE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is entitled to receive tiered fifteen percent (15%) to twenty-five percent (25%) royalties on net DSE Territory sales.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DSE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2024, the Company entered into the Settlement Agreement with DSE to amicably resolve and dismiss their commercial dispute 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District of New York. Under the Settlement Agreement, DSE has agreed to pay the Company an aggregate of $125.0 million, including (1) a</w:t>
      </w:r>
    </w:p>
    <w:p>
      <w:pPr>
        <w:spacing w:after="0" w:line="234" w:lineRule="auto"/>
        <w:rPr>
          <w:sz w:val="20"/>
          <w:szCs w:val="20"/>
          <w:color w:val="auto"/>
        </w:rPr>
      </w:pPr>
      <w:r>
        <w:rPr>
          <w:rFonts w:ascii="Times New Roman" w:cs="Times New Roman" w:eastAsia="Times New Roman" w:hAnsi="Times New Roman"/>
          <w:sz w:val="18"/>
          <w:szCs w:val="18"/>
          <w:color w:val="auto"/>
        </w:rPr>
        <w:t>$100.0-million payment within 15 business days of the effective date of the Settlement Agreement and (2) a $25.0-million payment in the calendar quarter</w:t>
      </w:r>
    </w:p>
    <w:p>
      <w:pPr>
        <w:spacing w:after="0" w:line="235" w:lineRule="auto"/>
        <w:rPr>
          <w:sz w:val="20"/>
          <w:szCs w:val="20"/>
          <w:color w:val="auto"/>
        </w:rPr>
      </w:pPr>
      <w:r>
        <w:rPr>
          <w:rFonts w:ascii="Times New Roman" w:cs="Times New Roman" w:eastAsia="Times New Roman" w:hAnsi="Times New Roman"/>
          <w:sz w:val="18"/>
          <w:szCs w:val="18"/>
          <w:color w:val="auto"/>
        </w:rPr>
        <w:t>immediately following the calendar quarter in which the EMA renders a decision on the application that was filed with the EMA for a Type II(a) variation</w:t>
      </w:r>
    </w:p>
    <w:p>
      <w:pPr>
        <w:spacing w:after="0" w:line="235" w:lineRule="auto"/>
        <w:rPr>
          <w:sz w:val="20"/>
          <w:szCs w:val="20"/>
          <w:color w:val="auto"/>
        </w:rPr>
      </w:pPr>
      <w:r>
        <w:rPr>
          <w:rFonts w:ascii="Times New Roman" w:cs="Times New Roman" w:eastAsia="Times New Roman" w:hAnsi="Times New Roman"/>
          <w:sz w:val="18"/>
          <w:szCs w:val="18"/>
          <w:color w:val="auto"/>
        </w:rPr>
        <w:t>for the Company’s oral non-statin products marketed as NILEMDO (bempedoic acid) tablets and NUSTENDI (bempedoic acid and ezetimibe) tablets in</w:t>
      </w:r>
    </w:p>
    <w:p>
      <w:pPr>
        <w:spacing w:after="0" w:line="184" w:lineRule="auto"/>
        <w:rPr>
          <w:sz w:val="20"/>
          <w:szCs w:val="20"/>
          <w:color w:val="auto"/>
        </w:rPr>
      </w:pPr>
      <w:r>
        <w:rPr>
          <w:rFonts w:ascii="Times New Roman" w:cs="Times New Roman" w:eastAsia="Times New Roman" w:hAnsi="Times New Roman"/>
          <w:sz w:val="18"/>
          <w:szCs w:val="18"/>
          <w:color w:val="auto"/>
        </w:rPr>
        <w:t>Europe. Pursuant to the Settlement Agreement, also on January 2, 2024, the Company entered into a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Amendment (the “DSE Amendment”) to the</w:t>
      </w:r>
    </w:p>
    <w:p>
      <w:pPr>
        <w:spacing w:after="0" w:line="234" w:lineRule="auto"/>
        <w:rPr>
          <w:sz w:val="20"/>
          <w:szCs w:val="20"/>
          <w:color w:val="auto"/>
        </w:rPr>
      </w:pPr>
      <w:r>
        <w:rPr>
          <w:rFonts w:ascii="Times New Roman" w:cs="Times New Roman" w:eastAsia="Times New Roman" w:hAnsi="Times New Roman"/>
          <w:sz w:val="18"/>
          <w:szCs w:val="18"/>
          <w:color w:val="auto"/>
        </w:rPr>
        <w:t>License and Collaboration Agreement dated January 2, 2019 with DSE. The DSE Amendment grants DSE the exclusive rights for clinical development,</w:t>
      </w:r>
    </w:p>
    <w:p>
      <w:pPr>
        <w:spacing w:after="0" w:line="220" w:lineRule="auto"/>
        <w:rPr>
          <w:sz w:val="20"/>
          <w:szCs w:val="20"/>
          <w:color w:val="auto"/>
        </w:rPr>
      </w:pPr>
      <w:r>
        <w:rPr>
          <w:rFonts w:ascii="Times New Roman" w:cs="Times New Roman" w:eastAsia="Times New Roman" w:hAnsi="Times New Roman"/>
          <w:sz w:val="18"/>
          <w:szCs w:val="18"/>
          <w:color w:val="auto"/>
        </w:rPr>
        <w:t>regulatory activities, manufacture and commercialization of a bempedoic acid/ezetimibe/statin triple combination pill in the DSE Territory. Further, after a</w:t>
      </w:r>
    </w:p>
    <w:p>
      <w:pPr>
        <w:spacing w:after="0"/>
        <w:rPr>
          <w:sz w:val="20"/>
          <w:szCs w:val="20"/>
          <w:color w:val="auto"/>
        </w:rPr>
      </w:pPr>
      <w:r>
        <w:rPr>
          <w:rFonts w:ascii="Times New Roman" w:cs="Times New Roman" w:eastAsia="Times New Roman" w:hAnsi="Times New Roman"/>
          <w:sz w:val="18"/>
          <w:szCs w:val="18"/>
          <w:color w:val="auto"/>
        </w:rPr>
        <w:t>transition period, DSE will assume sole responsibility for the manufacture of NILEMDO and NUSTENDI for the DSE Territory.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firstLine="243"/>
        <w:spacing w:after="0" w:line="238"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Settlement Agreement was in the scope of ASC 606. The Company determined that significantly all the upfront payment of $100.0 million from the transaction price received under the Settlement Agreement qualified for revenue recognition as it related to settlement of performance obligations completed under the DSE Agreement, including: 1) the settlement of the disputed milestone, which relates to variable consideration for full satisfied performance obligations, and 2) the developmental rights for the triple combination pill. In May 2024, the Company recognized collaboration revenue for a milestone payment of $25.0 million based on the approval of updated labels for NILEMDO and NUSTENDI by the EMA and received the cash milestone payment in June 2024. In the three and nine months ended September 30, 2024, the Company recognized collaboration revenue of $20.5 million and approximately $178.9 million, respectively, made up of payments pursuant to the Settlement Agreement and EMA approval during the first half of 2024, royalty revenue from DSE and sales of bulk tablets to DSE pursuant to the supply agreement that was executed with DSE. In the three and nine months ended September 30, 2023, the Company recognized collaboration revenue of approximately $13.4 million and $25.8 million, respectively, related to royalty revenue from DSE from the sales of NILEMDO and NUSTENDI as well as the sales of bulk tablets to DSE pursuant to the supply agreement that was executed with DSE.</w:t>
      </w:r>
    </w:p>
    <w:p>
      <w:pPr>
        <w:spacing w:after="0" w:line="18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All remaining future potential milestone amounts were not included in the transaction price, as they were all determined to be fully constrained following the concepts of ASC 606 due to the fact that such amounts hinge on sales-based milestones. Additionally, the Company expects that any consideration related to sales-based milestones will be recognized when the subsequent sales occur.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(the "Otsuka Territory"). Otsuka will be responsible for all development, regulatory, and commercialization activities in Japan. In addition, Otsuka will fund all clinical development costs associated with the program in Japan.</w:t>
      </w:r>
    </w:p>
    <w:p>
      <w:pPr>
        <w:spacing w:after="0" w:line="16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Otsuka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(as defined in the Otsuka Agreement) for NEXLETOL in the Otsuka Territory, and following Regulatory Approval and NHI Price Listing, up to $50.0 million upon the achievement of the primary major adverse cardiovascular events (“MACE”) endpoint in the CLEAR Outcomes study and the CV risk reduction rate in the U.S. label, depending on the range of relative risk reduction in the CLEAR Outcomes study. In addition, the Company is eligible to receive additional sales milestone payments up to $310.0 million related to total net sales achievements for Otsuka in Japan. Finally, the Company is entitled to receive tiered fifteen percent (15%) to thirty percent (30%) royalties on net sales in Japan.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In the three and nine months ended September 30, 2024, the Company recognized collaboration revenue of less than $0.1 million and approximately $0.1 million, respectively, related to sales of bulk tablets to Otsuka pursuant to the supply agreement that was executed with Otsuka. In the three and nine months ended September 30, 2023, the Company recognized $0.1 million in collaboration revenue related to sales of bulk tablets to Otsuka pursuant to the Otsuka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recognized any revenue for milestone payments as the related regulatory and commercial milestones have not yet been achieved.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1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DS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DS Agreement, the consideration consists of a $30.0 million upfront cash payment that is non-refundable, non-reimbursable and non-creditable. The Company is also eligible to receive additional one-time payments of up to $175.0 million if certain commercial milestones are achieved by DS. Also, the Company is entitled to receive tiered royalties of five percent (5%) to twenty percent (20%) of net sales in the DS Territory.</w:t>
      </w:r>
    </w:p>
    <w:p>
      <w:pPr>
        <w:spacing w:after="0" w:line="218"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color w:val="auto"/>
        </w:rPr>
        <w:t>Pursuant to the Settlement Agreement, on January 2, 2024, the Company entered into the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41" w:lineRule="exact"/>
        <w:rPr>
          <w:sz w:val="20"/>
          <w:szCs w:val="20"/>
          <w:color w:val="auto"/>
        </w:rPr>
      </w:pPr>
    </w:p>
    <w:p>
      <w:pPr>
        <w:ind w:right="60" w:firstLine="243"/>
        <w:spacing w:after="0" w:line="260" w:lineRule="auto"/>
        <w:rPr>
          <w:sz w:val="20"/>
          <w:szCs w:val="20"/>
          <w:color w:val="auto"/>
        </w:rPr>
      </w:pPr>
      <w:r>
        <w:rPr>
          <w:rFonts w:ascii="Times New Roman" w:cs="Times New Roman" w:eastAsia="Times New Roman" w:hAnsi="Times New Roman"/>
          <w:sz w:val="17"/>
          <w:szCs w:val="17"/>
          <w:color w:val="auto"/>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w:t>
      </w:r>
    </w:p>
    <w:p>
      <w:pPr>
        <w:spacing w:after="0" w:line="1" w:lineRule="exact"/>
        <w:rPr>
          <w:sz w:val="20"/>
          <w:szCs w:val="20"/>
          <w:color w:val="auto"/>
        </w:rPr>
      </w:pPr>
    </w:p>
    <w:p>
      <w:pPr>
        <w:ind w:right="420" w:firstLine="8"/>
        <w:spacing w:after="0" w:line="243"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to the Company’s intellectual property and 2) the obligation to provide ongoing development activities. The Company used the adjusted market assessment approach in</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determining the standalone selling price of the Company’s intellectual property and the expected cost plus margin approach in determining the standalone selling price of the Company’s obligation to provide ongoing development activities. Aside from that discussed in the "DSE Agreement Terms" section above, the Company recognized less than $0.1 million of collaboration revenue in the three and nine months ended September 30, 2024 related to royalty revenue from DS. The Company recognized $0.2 million and $0.6 million, respectively, of collaboration revenue related to the ongoing regulatory and development activities for the three and nine months ended September 30,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1"/>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23"/>
        </w:trPr>
        <w:tc>
          <w:tcPr>
            <w:tcW w:w="78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65,623</w:t>
            </w:r>
          </w:p>
        </w:tc>
      </w:tr>
      <w:tr>
        <w:trPr>
          <w:trHeight w:val="21"/>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DSE Litigation</w:t>
      </w:r>
    </w:p>
    <w:p>
      <w:pPr>
        <w:spacing w:after="0" w:line="24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March 27, 2023, the Company filed a complaint in the United States District Court for the Southern District of New York seeking declaratory judgment against DSE regarding the Company’s right to receive a $300.0 million milestone payment upon inclusion of cardiovascular risk reduction in the EU label that correlates with a relative risk reduction rate of at least 20%, based on the results of the CLEAR Outcomes CVOT. On May 4, 2023, the Company filed an amended complaint against DSE in the Southern District of New York seeking a judicial declaration, on an expedited basis, that DSE is contractually required to make a $300.0 million milestone payment to the Company upon applicable regulatory approval. On June 20, 2023, DSE filed a response to the amended complaint.</w:t>
      </w:r>
    </w:p>
    <w:p>
      <w:pPr>
        <w:spacing w:after="0" w:line="21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On January 2, 2024, the Company entered into the Settlement Agreement with DSE to amicably resolve and dismiss the commercial dispute then pending in the Southern District of New York. Under the Settlement Agreement, DSE agreed to pay the Company an aggregate of $125.0 million, including (1) a $100.0-million payment within 15 business days of the effective date of the Settlement Agreement and (2) a $25.0-million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legal action pending in the United States District Court for the Southern District of New York has now been dismissed. Refer to Note 3 “Collaborations with Third Parties” for further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ANDA Litigation</w:t>
      </w:r>
    </w:p>
    <w:p>
      <w:pPr>
        <w:spacing w:after="0" w:line="24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1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Act to the Federal Food, Drug, and Cosmetic Act (the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an affiliate); Dr. Reddy’s Laboratories Inc. (along with an affiliate); Hetero USA Inc. (along with affiliates); Micro Labs USA Inc. (along with an affiliate);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 No trial date has been set.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9"/>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106,258</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9"/>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other income, net in the statements of operations includes interest income on cash equivalents of $1.6 million and $6.4 million, respectively. During the three and nine months ended September 30, 2023, other income, net in the statements of operations includes interest income on cash equivalents and investments of $1.2 million and $3.5 million, respectively. During the three and nine months ended September 30, 2024, there was no accretion of premiums and discounts on investments. During the three months ended September 30, 2023, there was no accretion of premiums and discounts on investments. During the nine months ended September 30, 2023, other income, net in the statements of operations includes $0.4 million of accretion of premiums and discounts on investments.</w:t>
      </w:r>
    </w:p>
    <w:p>
      <w:pPr>
        <w:spacing w:after="0" w:line="18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on investments reclassified from accumulated other comprehensive income (loss) to other income in the statements of operations during the three and nine months ended September 30, 2024 and 2023.</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2024 and 2023, there were no allowances for credit losses and all unrealized gains (losses) for available-for-sale securities were recognized in accumulated other comprehensive income (loss). As of September 30, 2024, the Company had no accrued interest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52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Level 1 inputs:</w:t>
            </w:r>
          </w:p>
        </w:tc>
        <w:tc>
          <w:tcPr>
            <w:tcW w:w="360" w:type="dxa"/>
            <w:vAlign w:val="bottom"/>
          </w:tcPr>
          <w:p>
            <w:pPr>
              <w:spacing w:after="0"/>
              <w:rPr>
                <w:sz w:val="24"/>
                <w:szCs w:val="24"/>
                <w:color w:val="auto"/>
              </w:rPr>
            </w:pPr>
          </w:p>
        </w:tc>
        <w:tc>
          <w:tcPr>
            <w:tcW w:w="9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Quoted prices for identical assets or liabilities in active markets;</w:t>
            </w:r>
          </w:p>
        </w:tc>
      </w:tr>
      <w:tr>
        <w:trPr>
          <w:trHeight w:val="338"/>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 inputs:</w:t>
            </w:r>
          </w:p>
        </w:tc>
        <w:tc>
          <w:tcPr>
            <w:tcW w:w="9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Observable inputs other than Level 1 prices, such as quoted market prices for similar assets or liabilities or other inputs that are</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observable or can be corroborated by market data; and</w:t>
            </w:r>
          </w:p>
        </w:tc>
      </w:tr>
      <w:tr>
        <w:trPr>
          <w:trHeight w:val="34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3 inputs:</w:t>
            </w:r>
          </w:p>
        </w:tc>
        <w:tc>
          <w:tcPr>
            <w:tcW w:w="9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that market participants would use when pricing the asset or liability.</w:t>
            </w:r>
          </w:p>
        </w:tc>
      </w:tr>
    </w:tbl>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that have been measured at fair value on a recurring basis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and nine months ended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Revenue Interest Purchase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26, 2019, the Company entered into a Revenue Interest Purchase Agreement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7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Amendments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2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$50.0 million from the restricted cash account (the “Partial Call”), (b) the amount of the Cumulative Purchaser Payments (as defined in the RIPA) was reduced to $177,777,778, and (c) the Purchasers and Purchaser Agent waived certain claimed defaults, breaches and Put Option Events under the RIPA and other related documents that may have occurred as a result of the Company’s opening of a new bank account.</w:t>
      </w:r>
    </w:p>
    <w:p>
      <w:pPr>
        <w:spacing w:after="0" w:line="176"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On June 27, 2024, the Company repurchased Revenue Interests outstanding under the RIPA and satisfied all other Obligations (as defined in the RIPA) owed to the Purchasers and the Purchaser Agent by paying to the Purchaser Agent, for the benefit of the Purchasers, a payment in cash of $343,750,000</w:t>
      </w:r>
    </w:p>
    <w:p>
      <w:pPr>
        <w:spacing w:after="0" w:line="1" w:lineRule="exact"/>
        <w:rPr>
          <w:sz w:val="20"/>
          <w:szCs w:val="20"/>
          <w:color w:val="auto"/>
        </w:rPr>
      </w:pPr>
    </w:p>
    <w:p>
      <w:pPr>
        <w:ind w:right="600"/>
        <w:spacing w:after="0"/>
        <w:rPr>
          <w:sz w:val="20"/>
          <w:szCs w:val="20"/>
          <w:color w:val="auto"/>
        </w:rPr>
      </w:pPr>
      <w:r>
        <w:rPr>
          <w:rFonts w:ascii="Times New Roman" w:cs="Times New Roman" w:eastAsia="Times New Roman" w:hAnsi="Times New Roman"/>
          <w:sz w:val="18"/>
          <w:szCs w:val="18"/>
          <w:color w:val="auto"/>
        </w:rPr>
        <w:t>(the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720"/>
        <w:spacing w:after="0" w:line="242" w:lineRule="auto"/>
        <w:rPr>
          <w:sz w:val="20"/>
          <w:szCs w:val="20"/>
          <w:color w:val="auto"/>
        </w:rPr>
      </w:pPr>
      <w:r>
        <w:rPr>
          <w:rFonts w:ascii="Times New Roman" w:cs="Times New Roman" w:eastAsia="Times New Roman" w:hAnsi="Times New Roman"/>
          <w:sz w:val="18"/>
          <w:szCs w:val="18"/>
          <w:color w:val="auto"/>
        </w:rPr>
        <w:t>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168"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8"/>
          <w:szCs w:val="18"/>
          <w:color w:val="auto"/>
        </w:rPr>
        <w:t xml:space="preserve">In connection with the termination of the RIPA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recorded a loss on debt extinguishment of $53.2 million in the loss on extinguishment of debt line item of the Condensed Statement of Operations and Comprehensive Loss for the nine months ended September 30, 2024.</w:t>
      </w:r>
    </w:p>
    <w:p>
      <w:pPr>
        <w:spacing w:after="0" w:line="19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connection with the termination of the RIPA, as of September 30, 2024, the Company no longer has the liability referred to as the “Revenue interest liability” on the balance sheet. The Company imputed interest expense associated with the liability using the effective interest rate method through the repurchase date of June 27, 2024. The effective interest rate is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w:t>
      </w:r>
    </w:p>
    <w:p>
      <w:pPr>
        <w:spacing w:after="0" w:line="1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recorded approximately $21.6 million in interest expense related to this arrangement for the nine months ended September 30, 2024, and approximately $11.9 million and $34.7 million, respectively, in interest expense related to this arrangement for the three and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nine months ended September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December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274,778</w:t>
            </w:r>
          </w:p>
        </w:tc>
      </w:tr>
      <w:tr>
        <w:trPr>
          <w:trHeight w:val="229"/>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w:t>
            </w:r>
          </w:p>
        </w:tc>
      </w:tr>
      <w:tr>
        <w:trPr>
          <w:trHeight w:val="230"/>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Interests payments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29"/>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Revenue Interests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(343,750)</w:t>
            </w:r>
          </w:p>
        </w:tc>
      </w:tr>
      <w:tr>
        <w:trPr>
          <w:trHeight w:val="22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53,235</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September 30,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Sale of Future Royalties</w:t>
      </w:r>
    </w:p>
    <w:p>
      <w:pPr>
        <w:spacing w:after="0" w:line="21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On June 27, 2024, the Company entered into the Purchase Agreement with OCM IP Healthcare Portfolio LP ("the Purchaser") ("OMERS"). Pursuant to the Purchase Agreement, the Company sold to the Purchaser, and the Purchaser purchased for $304,656,180,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spacing w:after="0" w:line="19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1.700x of the Purchase Price (equivalent to $517,915,506). Following receipt of such amount, 100% of all Royalty Interests will revert to the Company. The Purchase Agreement contains other customary terms and conditions, including representations and warranties, covenants and indemnification obligations in favor of each party.</w:t>
      </w:r>
    </w:p>
    <w:p>
      <w:pPr>
        <w:spacing w:after="0" w:line="18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The Company evaluated the arrangement and determined that the proceeds from the sale of future royalties should be treated as a debt instrument according to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imputes interest expense associated with the liability using the effective interest rate method.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of forecasted royalty sales. The Company evaluates the interest rate quarterly based on its expectations of forecasted royalty sales from its license partner, historical experience and current market conditions utilizing the prospective method, which updates and changes the timing of the Company's payments. A significant increase or decrease in future royalty sales will materially impact the royalty sale liability and the time period for repayment. The Company currently expects to repay $38.4 million in the next twelve months. The repayment of the royalty sale liability to the Purchaser does not have a fixed repayment schedule. Rather, it will be completely repaid and extinguished when the Company has repaid an aggregate amount equal to 1.700x of the Purchase Price. The $9.6 million in issuance costs will be amortized through interest expense over the life of the agreement.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$12.0 million in interest expense related to this arrangement for the three and nine months ended September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annual imputed interest rate is 1.4% as of September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royalty sale liability activity during the nine months ended September 30, 2024 (in thousands):</w:t>
      </w:r>
    </w:p>
    <w:p>
      <w:pPr>
        <w:spacing w:after="0" w:line="24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Beginning balance of royalty sale liability on June 27, 2024</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Royalty sale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Royalties recognized and settled to Purchaser</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royalty sale liability at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Notes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760" w:hanging="760"/>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304,656</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(9,626)</w:t>
      </w:r>
    </w:p>
    <w:p>
      <w:pPr>
        <w:spacing w:after="0" w:line="3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(16,391)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11,984</w:t>
      </w:r>
    </w:p>
    <w:p>
      <w:pPr>
        <w:spacing w:after="0" w:line="31" w:lineRule="exact"/>
        <w:rPr>
          <w:sz w:val="20"/>
          <w:szCs w:val="20"/>
          <w:color w:val="auto"/>
        </w:rPr>
      </w:pPr>
    </w:p>
    <w:p>
      <w:pPr>
        <w:ind w:left="760" w:hanging="760"/>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762" w:lineRule="exact"/>
        <w:rPr>
          <w:sz w:val="20"/>
          <w:szCs w:val="20"/>
          <w:color w:val="auto"/>
        </w:rPr>
      </w:pPr>
    </w:p>
    <w:p>
      <w:pPr>
        <w:sectPr>
          <w:pgSz w:w="11900" w:h="16838" w:orient="portrait"/>
          <w:cols w:equalWidth="0" w:num="2">
            <w:col w:w="9080" w:space="720"/>
            <w:col w:w="1420"/>
          </w:cols>
          <w:pgMar w:left="320" w:top="121" w:right="359" w:bottom="1440" w:gutter="0" w:footer="0" w:header="0"/>
          <w:type w:val="continuous"/>
        </w:sectPr>
      </w:pP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of $8.9 million.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9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Common Stock has been at least 130% of the conversion price then in effect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Common Stock being exchanged.</w:t>
      </w:r>
    </w:p>
    <w:p>
      <w:pPr>
        <w:spacing w:after="0" w:line="175"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As of September 30, 2024, the principal amount of convertible notes was $265.0 million, and the unamortized debt discount and issuance costs were $2.1 million, for a net carrying amount of $262.9 million.</w:t>
      </w:r>
    </w:p>
    <w:p>
      <w:pPr>
        <w:spacing w:after="0" w:line="203" w:lineRule="exact"/>
        <w:rPr>
          <w:sz w:val="20"/>
          <w:szCs w:val="20"/>
          <w:color w:val="auto"/>
        </w:rPr>
      </w:pPr>
    </w:p>
    <w:p>
      <w:pPr>
        <w:ind w:right="460"/>
        <w:spacing w:after="0" w:line="236" w:lineRule="auto"/>
        <w:rPr>
          <w:sz w:val="20"/>
          <w:szCs w:val="20"/>
          <w:color w:val="auto"/>
        </w:rPr>
      </w:pPr>
      <w:r>
        <w:rPr>
          <w:rFonts w:ascii="Times New Roman" w:cs="Times New Roman" w:eastAsia="Times New Roman" w:hAnsi="Times New Roman"/>
          <w:sz w:val="18"/>
          <w:szCs w:val="18"/>
          <w:color w:val="auto"/>
        </w:rPr>
        <w:t>The Company recorded approximately $3.0 million and $9.2 million, respectively, of interest expense during the three and nine months ended September 30, 2024, and $3.1 million and $9.2 million, respectively, of interest expense during the three and nine months ended September 30, 2023, relating to the cash interest on the convertible notes due semi-annually and amortization of the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no Convertible Notes were convertible pursuant to their terms. The estimated fair value of the Convertible Notes was</w:t>
      </w:r>
    </w:p>
    <w:p>
      <w:pPr>
        <w:spacing w:after="0" w:line="16"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$252.4 million as of September 30, 2024 and $155.9 million as of December 31, 2023. The estimated fair value of the Convertible Notes was determined through consideration of quoted market prices. As of September 30, 2024, the if-converted value of the Convertible Notes did not exceed the principal value of those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Common Stock upon any conversion of the Convertible Notes and/or offset any cash payments the Company is required to make in excess of the principal amount of converted notes, as the case may be, in the event that the market value per share of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Common Stock on November 11, 2020), subject to certain adjustments. The capped call transactions are separate transactions, entered into by the Company and are not part of the terms of the Convertible Notes.</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September 30, 2024 and December 31, 2023, the Company had not purchased any shares under the convertible note capped call transactions.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Forward</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September 30, 2024, 448,698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1"/>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21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In May 2022, the Company's stockholders approved the 2022 Stock Option and Incentive Plan (as amended,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Amended and Restated 2013 Stock Option and Incentive Plan (the “2013 Plan”). In June 2023, the Company's stockholders approved a first amendment to the 2022 Plan, which increased the number of shares of Common Stock reserved for awards under the 2022 Plan to 10,650,000. In May 2024, the Company's stockholders approved a second amendment to the 2022 Plan, which increased the number of shares of Common Stock reserved for awards under the 2022 Plan to 16,900,000.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1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April 2020, the Company's board of directors approved the Esperion Therapeutics, Inc. 2020 Employee Stock Purchase Plan (as amended, the "ESPP"), which was approved by the Company's stockholders on May 28, 2020 and was subsequently amended by a first amendment to the ESPP adopted by the Company’s board of directors on July 31, 2020. The ESPP allows eligible employees to authorize payroll deductions of up to 10% of their base salary or wages up to $25,000 annually to be applied toward the purchase of shares of Common Stock on the last trading day of the offering period. Participating employees will purchase shares of Common Stock at a discount of up to 15% on the lesser of the closing price of Common Stock on the NASDAQ Global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During the three and nine months ended months ended September 30, 2024, the Company recognized less than $0.1 million of stock compensation expense related to the ESPP. During the three and nine months ended months ended September 30, 2023, the Company recognized approximately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$0.1 million and $0.3 million, respectively, of stock compensation expense related to the ESPP. In May 2024, the Company's stockholders approved a second amendment to the ESPP, which increased the number of shares of Common Stock reserved for future issuance under the ESPP by an additional 6,175,000 shares. As of September 30, 2024, there have been 610,506 shares issued and 6,389,494 shares reserved for future issuance under the ESPP. The Company paused the ESPP effective as of September 1, 2023, such that the offering periods which would otherwise have begun on September 1, 2023 and March 1, 2024 did not commence. The Company resumed the ESPP effective as of September 1, 2024, such that the offering period commenced on September 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Inducement Equity Plan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2017, the Company's board of directors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nine months ended September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3,686,191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(588,724)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5,177,511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5,177,511</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2,399,531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stock options was $1.2 million and $3.2 million, respectively, for the three and nine months ended September 30, 2024, including less than $0.1 million and $0.2 million, respectively, that was capitalized into inventory, and $0.9 million and $2.9 million, respectively, for the three and nine months ended September 30, 2023, including $0.1 million and $0.2 million, respectively, that was capitalized into inventory. As of September 30, 2024, there was $5.8 million of unrecognized stock-based compensation expense related to unvested options, which will be recognized over a weighted-average period of 2.4 years.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performance criteria was met in three months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PBSOs for the nine months ended September 30,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632,950</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was no stock-based compensation related to PBSOs for the three months ended September 30, 2024. Stock-based compensation related to PBSOs for the nine months ended September 30, 2024 was $0.5 million. Stock-based compensation related to PBSOs was and $0.2 million and $0.6 million, respectively, for the three and nine months ended September 30, 2023. As of September 30, 2024, there was no unrecognized stock-based compensation expense related to unvested PBSOs.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nine months ended September 30,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3,570,325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(449,588)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(1,199,517)</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September 30,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4,969,108</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related to RSUs was approximately $1.8 million and $5.3 million, respectively, for the three and nine months ended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September 30, 2024, including less than $0.1 million and $0.3 million, respectively, that was capitalized into inventory, and approximately $1.6 million and $4.9 million, respectively, for the three and nine months ended September 30, 2023, including $0.2 million and $0.3 million, respectively, that was capitalized into inventory. As of September 30, 2024, there was $13.7 million of unrecognized stock-based compensation expense related to unvested RSUs, which will be recognized over a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("PBRSUs")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Common Stock on the date of grant. The performance criteria was met in three months ended March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PBRSUs for the nine months ended September 30,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6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 fair</w:t>
            </w:r>
          </w:p>
        </w:tc>
      </w:tr>
      <w:tr>
        <w:trPr>
          <w:trHeight w:val="195"/>
        </w:trPr>
        <w:tc>
          <w:tcPr>
            <w:tcW w:w="73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PBRSUs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(156,375)</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September 30,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was no stock-based compensation related to PBRSUs for the three months ended September 30, 2024. Stock-based compensation related to the PBRSUs was $0.2 million, for the nine months ended September 30, 2024, including less than $0.1 million that was capitalized into inventory. Stock-based compensation related to PBRSUs was $0.1 million and $0.3 million, respectively, for the three and nine months ended September 30, 2023, including less than $0.1 million and less than $0.1 million, respectively, that was capitalized into inventory. As of September 30, 2024, there was no unrecognized stock-based compensation expense related to unvested PBRSUs.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1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There was no provision for income taxes for the three and nine months ended September 30, 2024 and 2023, because the Company has incurred annual operating losses since inception. At September 30, 2024,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4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 January 18, 2024, the Company entered into the Underwriting Agreement with Jefferies, as representative of the Underwriters, related to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2024 Offering closed on January 23, 2024, with proceeds to the Company of approximately $90.7 million, after deducting the underwriting discount and estimated offering expenses of $7.1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24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On February 21, 2023, the Company entered into a Controlled Equity Offering Sales Agreement with Cantor Fitzgerald &amp; Co., as sales agent, to provide for the issuance and sale by the Company of up to $70 million of shares of Common Stock from time to time in “at-the-market” offerings (the "2023 ATM Program"), pursuant to its existing Form S-3 and the prospectus supplement filed on February 21, 2023. The Company may continue to use the 2023 ATM Program to address potential short-term or long-term funding requirements that may arise. Such program will continue to be subject to the volatility of the price of Common Stock and general market conditions. During the three and nine months ended September 30, 2024, the Company issued 378,902 shares of common stock resulting in net proceeds of approximately $0.5 million after deducting approximately $0.2 million of commissions and expense reimbursement payable to sales agent and other expenses, pursuant to the 2023 ATM Program. During the three months ended September 30, 2023, the Company did not issue shares pursuant to the 2023 ATM Program. During the nine months ended September 30, 2023, the Company issued 3,312,908 shares of common stock resulting in net proceeds of approximately $4.4 million after deducting $0.4 million of commissions and expense reimbursement payable to sales agent other expenses, pursuant to the 2023 ATM Program.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4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connection with an underwriting agreement with H.C. Wainwright &amp; Co., LLC ("Wainwright") on December 2, 2021, the Company issued warrants to purchase 36,964,286 shares of Common Stock at an exercise price of $9.00 and an expiration date of December 7, 2023. The warrants were recorded at fair value of $61.9 million to additional-paid-in-capital in accordance with ASC 815-10 based upon the allocation of the proceeds between the common shares issued with the December 2021 Offering and the warrants. On December 7, 2023, 27,940,074 of these warrants expired. The remaining 9,024,212 warrants were amended as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 and Warrant Amendment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19, 2023, the Company entered into a Purchase Agreement with the Purchasers pursuant to which the Company agreed to issue and sell,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Direct Offering, 12,205,000 shares of Common Stock, Pre-Funded Warrants to purchase up to an aggregate of 20,965,747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 lieu of shares of Common Stock, and Warrants to purchase up to 33,170,747 shares of Common Stock. The combined purchase price of each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and accompanying Warrant is $1.675 per share. The Warrants expire on September 22, 2026 and have an exercise price of $1.55.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price of each Pre-Funded Warrant is $1.674 (equal to the combined purchase price per share of Common Stock and accompanying Warrant, minus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The Purchase Agreement contains customary representations, warranties, covenants and indemnification rights and obligations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Purchasers. The Registered Direct Offering closed on March 22, 2023. The warrants and pre-funded warrants were recorded at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 million to additional-paid-in-capital in accordance with ASC 815-10 based upon the allocation of the proceeds between the common shares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Registered Direct Offering and the warrants and pre-funded warrants. The Company estimated the fair value of the warrants using a Black-Scholes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option-pricing model, which is based, in part, upon subjective assumptions including but not limited to stock price volatility, the expected life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the risk-free interest rate and the fair value of Common Stock underlying the warrant. The Company estimates the volatility based on its historical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volatility that is in line with the expected remaining life of the warrants. The risk-free interest rate is based on the U.S. Treasury daily rate for a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the expected remaining life of the warrants. The expected remaining life of the warrants is assumed to be equivalent to its remaining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The Company estimated the fair value of the pre-funded warrants based on the market price of Common Stock at issuance.</w:t>
      </w:r>
    </w:p>
    <w:p>
      <w:pPr>
        <w:spacing w:after="0" w:line="23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Registered Direct Offering, the Company amended, pursuant to Warrant Amendment Agreements, certain existing warrants to purchase up to an aggregate of 9,024,212 shares of Common Stock that were previously issued in December 2021 at an exercise price of $9.00 per share and had an expiration date of December 7, 2023, effective upon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gross proceeds of approximately $55.5 million from the Registered Direct Offering, before deducting placement agent fees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offering expenses. The net proceeds to the Company from the Registered Direct Offering, after deducting the placement agent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Company’s estimated offering expenses of $4.2 million, were approximately $51.3 million. In addition, the Company received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million as the gross consideration in connection with the Warrant Amendment Agreements. The net proceeds of the Warrant Amendment Agreements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deducting placement fees of $0.1 million were approximately $1.1 million.</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of September 30, 2024, no pre-funded warrants were outstanding. During the three months ended September 30, 2024, no warrants were exercised. During the nine months ended September 30, 2024, 10,272,783 warrants were exercised. During the three and nine months ended September 30, 2023, 10,867,000 and 20,965,747 shares of pre-funded warrants were exercised. The following table summarizes the warrants outstanding for the Company as of September 30, 2024 and December 31, 2023:</w:t>
      </w: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Warrants outstanding from Warrant Amendment Agreements, expiring</w:t>
            </w: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22, 2026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6,071,429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9,024,212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Warrants outstanding from Purchase Agreement, expiring September 22,</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27,320,000</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26,071,429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Common Share</w:t>
      </w:r>
    </w:p>
    <w:p>
      <w:pPr>
        <w:spacing w:after="0" w:line="200" w:lineRule="exact"/>
        <w:rPr>
          <w:sz w:val="20"/>
          <w:szCs w:val="20"/>
          <w:color w:val="auto"/>
        </w:rPr>
      </w:pPr>
    </w:p>
    <w:p>
      <w:pPr>
        <w:spacing w:after="0" w:line="2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periods. Diluted net loss per share is computed by dividing net loss by the weighted-average number of common stock equivalents outstanding for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9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47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5,177,511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3,706,191</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661,850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4,969,108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3,182,857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PBRSUs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174,775</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8,007,010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8,007,010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26,071,429</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70,135,033</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44,897,299</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85,867,716</w:t>
            </w: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2023 and other filings that we make with the Securities and Exchange Commission (the "SEC").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marketing strategy,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timing, designs and plans for the CLEAR Outcomes study and its results, plans for potential future product candidates and expectations regarding future transactions to further improve our balance sheet to be materially different from any future results, performance or achievements, including in relation to the clinical development, commercialization plans, net sales profitability, growth of our commercial products, clinical activities, commercial development plans, the outcomes and anticipated benefits of legal proceedings and settlements, expressed or implied by these forward-looking statements.</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represent our views as of the date of this Quarterly Report on Form 10-Q. Except as required by law, we undertake no obligation to update any forward-looking statements to reflect events or circumstances after the date of such statements.</w:t>
      </w:r>
    </w:p>
    <w:p>
      <w:pPr>
        <w:spacing w:after="0" w:line="1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we use the terms "Esperion," “we,” “us,” “our,” or the "Company” in this Quarterly Report on Form 10-Q to refer to Esperion Therapeutics,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and are struggling with elevated low-density lipoprotein cholesterol, or LDL-C. Through commercial execution, international partnerships and collaborations, and advancement of our pre-clinical pipeline, we continue to evolve into a leading global biopharmaceutical company.</w:t>
      </w:r>
    </w:p>
    <w:p>
      <w:pPr>
        <w:spacing w:after="0" w:line="21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Our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cardiovascular disease, or CVD, or at high risk for a CVD event but without established CVD, and to reduce LDL-C in adults with primary hyperlipidemia. Our products were approved by the FDA, European Medicines Agency, or EMA, and Swiss Agency for Therapeutic Products, or Swissmedic in 2020. The FDA approved expanded indications for NEXLETOL and NEXLIZET tablets in March 2024. The EMA approved expanded indications for NILEMDO® (bempedoic acid) tablets and NUSTENDI (bempedoic acid and ezetimibe) tablets in May 2024. In addition, Otsuka Pharmaceutical Co., Ltd., or Otsuka, our Japanese collaborator, announced that the primary endpoint of LDL-C reduction from baseline at Week 12 was achieved with statistical</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significance in the Phase 3 clinical trial in Japan for bempedoic acid as a treatment for hypercholesterolemia. Otsuka plans to file a New Drug Application, or NDA, in Japan by the end of 2024, with expected approval and National Health Insurance, or NHI, pricing in 2025. We plan to file supplemental New Drug Applications for product approvals in Canada in the fourth quarter of 2024 and in Australia and Israel in the first half of 2025.</w:t>
      </w:r>
    </w:p>
    <w:p>
      <w:pPr>
        <w:spacing w:after="0" w:line="20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 xml:space="preserve">We completed a global cardiovascular outcomes trial, or CVOT, —known as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holesterol </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owering via B</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mpedoic Acid, an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CL-inhibiting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egimen (CLEAR) Outcomes. The trial was designed to evaluate whether treatment with bempedoic acid reduced the risk of cardiovascular events in adult patients who are statin averse and who have CVD or are at high risk for CVD. We initiated the CLEAR Outcomes CVOT in December 2016 and fully enrolled the study with nearly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to demonstrate the ability to lower hard ischemic events, not only in those with atherosclerotic cardiovascular disease, or ASCVD, but also in the large number of primary prevention patients for whom limited therapies exist.</w:t>
      </w:r>
    </w:p>
    <w:p>
      <w:pPr>
        <w:spacing w:after="0" w:line="22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On March 22, 2024, we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w:t>
      </w:r>
    </w:p>
    <w:p>
      <w:pPr>
        <w:spacing w:after="0" w:line="19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May 22, 2024, we announced that the European Commission, or EC, approved the label update of both NILEMDO and NUSTENDI as treatments for hypercholesterolemia and to reduce the risk of adverse cardiovascular events. The EC’s decisions to update the labels of bempedoic acid and the bempedoic acid / ezetimibe fixed dose combination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atherosclerotic cardiovascular disease.</w:t>
      </w:r>
    </w:p>
    <w:p>
      <w:pPr>
        <w:spacing w:after="0" w:line="21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On June 27, 2024, we entered into a Royalty Purchase Agreement, or the Purchase Agreement, with OCM IP Healthcare Portfolio LP, a limited partnership formed under the laws of the Province of Ontario, Canada, or the Purchaser. Pursuant to the Purchase Agreement, we sold to the Purchaser, and the Purchaser purchased for $304,656,180,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or DSE, and the Company, as amended, or the License and Collaboration Agreement and such royalties being the Royalty Interests).</w:t>
      </w:r>
    </w:p>
    <w:p>
      <w:pPr>
        <w:spacing w:after="0" w:line="214"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1.700x of the Purchase Price (equivalent to $517,915,506). Following receipt of such amount, 100% of all Royalty Interests will revert to us. The Purchase Agreement contains other customary terms and conditions, including representations and warranties, covenants and indemnification obligations in favor of each party.</w:t>
      </w:r>
    </w:p>
    <w:p>
      <w:pPr>
        <w:spacing w:after="0" w:line="19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On June 27, 2024, we repurchased Revenue Interests outstanding under the Revenue Interest Purchase Agreement, or the RIPA, dated effective as of June 26, 2019, as amended, by and among the Company, the purchasers party thereto, or the Purchasers, and Eiger III SA LLC, or Oberland, as the collateral agent and administrative agent, or the Purchaser Agent, and satisfied all other Obligations (as defined in the RIPA) owed to the Purchasers and the Purchaser Agent by paying to the Purchaser Agent, for the benefit of the Purchasers, a payment in cash of $343,750,000, or 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commercially available in the U.S. on March 30, 2020 and NEXLIZET was commercially available in the U.S. on June 4, 2020. While we began to generate revenue from the sale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and royalty interest purchase agreements. We have incurred losses in each year since our inception.</w:t>
      </w:r>
    </w:p>
    <w:p>
      <w:pPr>
        <w:spacing w:after="0" w:line="16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have never been profitable. Our net losses were $29.5 million and $30.4 million, respectively, for the three and nine months ended September 30, 2024. Our net losses were $41.3 million and $152.9 million, respectively, for the three and nine months ended September 30, 2023.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research and development activities.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debt financings, royalty-based financings,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16"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NEXLETOL is a first-in-class ATP Citrate Lyase, or ACL,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CLEAR Outcomes trial in patients unwilling or unable to take statins and who had, or were at high risk for, cardiovascular disease demonstrated an average 21.1% placebo corrected LDL-C lowering, and a resulting 13% lower risk of major cardiovascular events versus placebo. NEXLETOL was approved by the FDA in February 2020 and received an expanded cardiovascular risk reduction indication from the FDA in March 2024.</w:t>
      </w:r>
    </w:p>
    <w:p>
      <w:pPr>
        <w:spacing w:after="0" w:line="21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and cardiovascular risk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spacing w:after="0" w:line="208"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NILEMDO is a first-in-class ACL inhibitor that lowers LDL-C and cardiovascular risk by reducing cholesterol biosynthesis and up-regulating the LDL receptors. NILEMDO was approved by the European Commission, or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atherosclerotic cardiovascular disease.</w:t>
      </w:r>
    </w:p>
    <w:p>
      <w:pPr>
        <w:spacing w:after="0" w:line="21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atherosclerotic cardiovascular disease.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we incurred $5.6 million in expenses related to ongoing clinical studies.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we incurred $39.4 million in expenses related to our CLEAR Outcomes CVOT and other ongoing clinical studies.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DSE, Otsuka, and Daiichi Sankyo Co. Ltd, or DS. Collaboration revenue for the nine months ended September 30, 2024 was primarily related to the Settlement Agreement with DSE and sales of bulk tablets under supply agreements and royalty revenue received from collaboration partners. Collaboration revenue for the three months ended September 30, 2024 and three and nine months ended September 30, 2023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the cost of goods sold from our supply agreements with collaboration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which include:</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decrease substantially in 2024 after the completion of the CLEAR Outcomes CVOT and submitting regulatory filings to the FDA and EMA in 2023.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expect our selling, general and administrative expenses will increase in 2024 in connection with our expanded product indications in the U.S., expanded commercialization initiatives for NEXLETOL and NEXLIZET and increases in our associated headcount to expand our sales team.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expense is related to our Royalty Purchase Agreement with OCM IP Healthcare Portfolio LP, or OMERS, entered into on June 27, 2024, Revenue Interest Purchase Agreement, or RIPA, with Oberland, an affiliate of Oberland Capital, and our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debt is related to the loss recognized from the termination of our RIPA with Oberland.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income, net, primarily relates to interest income and the accretion or amortization of premiums and discounts earned on our cash, cash equivalents and investment securities and also includes other income related to the sale of leased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collaboration agreements, revenue interest liability and royalty sale liability.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June 2024, we entered into a royalty sale agreement for the future royalties from our collaboration agreement with DSE for up to 1.7x the purchase price, or $518 million. The royalty sale liability related to the agreement is presented net of deferred issuance costs on the balance sheets. We impute interest expense associated with this liability using the effective interest rate method which is presented as interest expense on the statements of operations. The effective interest rate is calculated based on the rate that would enable the liability to be repaid in full over the anticipated life of the arrangement. The interest rate on the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liability may vary during the term of the agreement depending on a number of factors, including the level of forecasted royalty sales. This estimate is complex and highly judgmental as it is based on our future royalty projections and expectations about future economic and market conditions. We evaluate the interest rate quarterly based on our forecasted royalty sales from our license partner, historical experience and current market conditions utilizing the prospective method. A significant increase or decrease in royalties will materially impact the royalty sale liability, interest expense and the time period for repayment. Issuance costs in connection with the royalty sale agreement are amortized to interest expense over the estimated term of the agreement.</w:t>
      </w: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our Annual Report on Form 10-K for the fiscal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Product sales, net for the three months ended September 30, 2024 was $31.1 million compared to $20.3 million for the three months ended September 30, 2023, an increase of approximately $10.8 million. The increase is primarily due to prescription growth volumes of NEXLETOL and NEXLIZET compared to the third quarter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three months ended September 30, 2024 was $20.5 million compared to</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$13.7 million for the three months ended September 30, 2023, an increase of $6.8 million. The increase is primarily due to increased royalty sales growth within our partner territories and product sales to our collaboration partners from our supply agreements.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16"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7"/>
          <w:szCs w:val="17"/>
          <w:color w:val="auto"/>
        </w:rPr>
        <w:t>Cost of goods sold for the three months ended September 30, 2024 was $17.3 million compared to $13.4 million for the three months ended September 30, 2023, an increase of $3.9 million. The increase is primarily related to increased product sales to our collaboration partners from our supply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2024, were $10.4 million, compared to $14.9 million for the three months ended September 30, 2023, a decrease of $4.5 million. The decrease in research and development expenses was primarily attributable to a decrease in costs related to CLEAR Outcomes study following the announcement and presentation of our CLEAR Outcomes study results.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2024, were $40.0 million, compared to $33.2 million for the three months ended September 30, 2023, an increase of approximately $6.8 million. The increase in selling, general and administrative expenses was primarily attributable to increased commercial headcount, bonuses, and promotional costs associated with the launch of the expanded labels for NEXLETOL and NEXLIZET.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was $15.1 million, compared to $15.0 million for the three months ended September 30, 2023, an increase of $0.1 million. Interest expense for the three months ended September 30, 2024 was related to our royalty sale liability and convertible notes. Interest expense for the three months ended September 30, 2024 was related to our revenue interest liability and convertible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2024, was $1.6 million, compared to $1.3 million for the three months ended September 30, 2023, an increase of $0.3 million. The increase in other income, net was primarily due to higher interest income on our investments due to higher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60" w:type="dxa"/>
            <w:vAlign w:val="bottom"/>
            <w:gridSpan w:val="5"/>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68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26,589</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152,528</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172,018</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(53,235)</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(30,427)</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122,477</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Product sales, net for the nine months ended September 30, 2024 was $84.2 million compared to $57.6 million for the nine months ended September 30, 2023, an increase of $26.6 million. The increase is primarily due to prescription growth volumes of NEXLETOL and NEXLIZET compared to the first nine months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nine months ended September 30, 2024 was $179.0 million compared to $26.5 million for the nine months ended September 30, 2023, an increase of $152.5 million. The increase is primarily due to revenue recognized from our Settlement Agreement with DSE in the first half of 2024 and increased product sales to our collaboration partners from our supply agreements and royalty sales growth within our partner territories.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16"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7"/>
          <w:szCs w:val="17"/>
          <w:color w:val="auto"/>
        </w:rPr>
        <w:t>Cost of goods sold for the nine months ended September 30, 2024 was $43.0 million compared to $31.8 million for the nine months ended September 30, 2023, an increase of $11.2 million. The increase is primarily related to increased product sales to our collaboration partners from our supply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2024, were $35.3 million, compared to $68.4 million for the nine months ended September 30, 2023, a decrease of $33.1 million. The decrease in research and development expenses was primarily attributable to a decrease in costs related to CLEAR Outcomes study following the announcement and presentation of our CLEAR Outcomes study results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2024, were $126.1 million, compared to $97.1 million for the nine months ended September 30, 2023, an increase of $29.0 million. The increase in selling, general and administrative expenses was primarily attributable to increased commercial headcount, bonuses, and promotional costs associated with the launch of the expanded labels for NEXLETOL and NEXLIZET.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was $42.8 million, compared to $43.9 million for the nine months ended September 30, 2023, a decrease of $1.1 million. Interest expense for the nine months ended September 30, 2024 was related to our revenue interest liability, which we repurchased on June 27, 2024, our royalty sale liability, entered into on June 27, 2024, and our convertible notes. Interest expense for the nine months ended September 30, 2023, was related to our revenue interest liability and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Loss on extinguishment of debt for the nine months ended September 30, 2024, was $53.2 million, with no such loss recognized for the nine months ended September 30, 2023. The loss on extinguishment of debt was due to the repurchase of the Revenue Interests under our RIPA with Oberland in the second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2024, was $6.8 million, compared to $4.2 million for the nine months ended September 30, 2023, an increase of $2.6 million. The increase in other income, net was primarily due to higher interest income on our investments due to higher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sale of future royalties and our revenue interest purchase agreement. Pursuant to the license and collaboration agreements with DSE, DS, and Otsuka, we are eligible for substantial additional sales and regulatory milestone payments and royalties.</w:t>
      </w:r>
    </w:p>
    <w:p>
      <w:pPr>
        <w:spacing w:after="0" w:line="20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existing Form S-3 and the prospectus supplement filed on February 21, 2023. During the three and nine months ended September 30, 2023, we issued 3,312,908 shares of common stock resulting in net proceeds of approximately $4.4 million after deducting $0.4 million of commissions and expense reimbursement payable to sales agent and other expenses, pursuant to the 2023 ATM Program. During the three and nine months ended September 30, 2024, we issued 378,902 shares of common stock resulting in net proceeds of approximately $0.5 million after deducting approximately $0.2 million of commissions and expense reimbursement payable to sales agent and other expenses, pursuant to the 2023 ATM Program.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March 19, 2023, we entered into a Securities Purchase Agreement, or Securities Purchase Agreement, pursuant to which we agreed to issue and sell, in a registered direct offering, or the Registered Direct Offering, 12,205,000 shares of our common stock, pre-funded warrants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Securities Purchase Agreement,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and expire three and one half years following the closing of the Registered Direct Offering, for additional consideration of $0.125 per amended warrant. We received net proceeds of approximately $51.3 million related to the Registered Direct Offering and approximately $1.1 million in connection with the amended warrants.</w:t>
      </w:r>
    </w:p>
    <w:p>
      <w:pPr>
        <w:spacing w:after="0" w:line="21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January 2, 2024, we entered into the Settlement Agreement with DSE to amicably resolve and dismiss the commercial dispute then pending in the Southern District of New York. Under the Settlement Agreement, DSE agreed to pay us an aggregate of $125.0 million, including (1) a $100.0-million payment within 15 business days of the effective date of the Settlement Agreement, which we received in January 2024, and (2) a $25.0-million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which we received in June 2024. The legal action pending in the United States District Court for the Southern District of New York has now been dismissed.</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On January 18, 2024, we entered into the Underwriting Agreement with Jefferies, as representative of the Underwriters, related to the January 2024 Offering of 56,700,000 shares of our common stock, at a purchase price to the public of $1.50 per share. The Underwriters were also granted a 30-day option to purchase up to an additional 8,505,000 shares of our common stock, at the public offering price. On January 19, 2024, Jefferies gave us notice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w:t>
      </w:r>
    </w:p>
    <w:p>
      <w:pPr>
        <w:spacing w:after="0" w:line="186"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We anticipate that we will incur operating losses for the foreseeable future as we continue to incur substantial expenses related to the ongoing commercialization of 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foreseeable future.</w:t>
      </w:r>
    </w:p>
    <w:p>
      <w:pPr>
        <w:spacing w:after="0" w:line="2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September 30, 2024, our primary sources of liquidity were our cash and cash equivalents which totaled $144.7 million. We invest our cash equivalents and investments in highly liquid, interest-bearing investment-grade securities and government securities to preserve principal.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196"/>
        </w:trPr>
        <w:tc>
          <w:tcPr>
            <w:tcW w:w="7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(98,431)</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w:t>
            </w: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7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totaled $11.3 million for the nine months ended September 30, 2024, compared to $98.4 million of cash used in operating activities for the nine months ended September 30, 2023. Net cash provided by operating activities of $11.3 million for the nine months ended September 30, 2024 consisted primarily of net product sales of NEXLETOL and NEXLIZET and collaboration revenue from the Settlement Agreement with DSE partially offset by cash used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fund the commercialization activities of NEXLETOL and NEXLIZET and the research and development costs related to bempedoic acid and the bempedoic acid / ezetimibe combination tablet, adjusted for non-cash items such as the loss on extinguishment of debt associated with our revenue interest purchase agreement, royalty revenue from DSE paid or to be paid to OCM IP Healthcare Portfolio LP, or OMERS, stock-based compensation expense, interest expense related to our RIPA with Oberland and royalty sale agreement, depreciation and amortization and changes in working capital. Net cash used in operating activities of $98.4 million in for the nine months ended September 30, 2023 consisted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$0.3 million for the nine months ended September 30, 2024 consisted of purchases of property, plant and equipment. Net cash provided by investing activities of $42.5 million for the nine months ended September 30, 2023 consisted of proceeds from the sales of highly liquid, interest bearing investment grade and government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$51.5 million for the nine months ended September 30, 2024 related primarily to our January 2024 Offering, royalty sale agreement and warrant exercises, offset partially by the cash outlays resulting in the extinguishment of our revenue interest liability. Net cash provided by financing activities of $46.0 million for the nine months ended September 30, 2023 related primarily to proceeds from our registered direct offering and net proceeds from our 2023 ATM Program, partially offset by payments on our revenue interest liability.</w:t>
      </w:r>
    </w:p>
    <w:p>
      <w:pPr>
        <w:spacing w:after="0" w:line="16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As noted above, we received approximately $90.7 million, after deducting the underwriting discounts and estimated offering expenses, from our January 2024 Offering. Refer to Note 14 “Stockholders’ Deficit—Underwriting Agreement” in our condensed financial statements included in this Quarterly Report on Form 10-Q for further information.</w:t>
      </w:r>
    </w:p>
    <w:p>
      <w:pPr>
        <w:spacing w:after="0" w:line="17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June 27, 2024, we entered into a Royalty Purchase Agreement (the “Purchase Agreement”) with OMERS. Pursuant to the Purchase Agreement, we sold a portion of the royalties payable on net sales of Bempedoic Acid from our collaboration partner DSE. Pursuant to the Purchase Agreement, we received $304.7 million, less issuance costs. Refer to Note 9 "Sale of Future Royalties" in our condensed financial statements included in this Quarterly Report on Form 10-Q for the quarter ended September 30, 2024 for further information.</w:t>
      </w:r>
    </w:p>
    <w:p>
      <w:pPr>
        <w:spacing w:after="0" w:line="17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June 27, 2024, we repurchased the Revenue Interests outstanding under the RIPA for $343.8 million and recognized a loss on extinguishment of debt in the statement of operations. Following the repurchase in June 2024, we no longer owe payments under the RIPA. Refer to Note 8 "Liability Related to the Revenue Interest Purchase Agreement" in our condensed financial statements included in this Quarterly Report on Form 10-Q for further information.</w:t>
      </w:r>
    </w:p>
    <w:p>
      <w:pPr>
        <w:spacing w:after="0" w:line="204"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the Convertible Notes held in the aggregate by them (and accrued interest thereon) for shares of Common Stock, which closed on November 3, 2021. Future payments under the convertible notes include annual interest of $10.6 million and a principal payment of $265.0 million in 2025. Refer to Note 10 "Convertible Notes" in our condensed financial statements included in this Quarterly Report on Form 10-Q for further information.</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existing Form S-3 and the prospectus supplement filed on February 21, 2023. During the three and nine months ended September 30, 2023, we issued 3,312,908 shares of common stock resulting in net proceeds of approximately $4.4 million after deducting $0.4 million of commissions and expense reimbursement payable to sales agent and other expenses, pursuant to the 2023 ATM Program. During the three and nine months ended September 30, 2024, we issued 378,902 shares of common stock resulting in net proceeds of approximately $0.5 million after deducting approximately $0.2 million of commissions and expense reimbursement payable to sales agent and other expenses, pursuant to the 2023 ATM Program. We may continue to use the 2023 ATM Program to address potential short-term</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or long-term funding requirements that may arise. Such program will continue to be subject to the volatility of the price of our common stock and general market conditions.</w:t>
      </w:r>
    </w:p>
    <w:p>
      <w:pPr>
        <w:spacing w:after="0" w:line="20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March 22, 2023, we issued and sold, in a registered direct offering, or the Registered Direct Offering, 12,205,000 shares of our common stock,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The warrants are immediately exercisable and will expire on September 22, 2026, which may provide us with additional funding, if such warrants are exercised by their holders. Each pre-funded warrant is exercisable for one share of our common stock at an exercise price of $0.001 per share. The pre-funded warrants were immediately exercisable and could be exercised at any time. As of September 30, 2024, no pre-funded warrants were outstanding as all were exercised during the year ended 2023. During the year ended December 31, 2023, we received net proceeds of approximately $8.4 million from the exercise of warrants and pre-funded warrants.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In the nine months ended September 30, 2024, we received net proceeds of approximately $14.8 million from the exercise of warrants in connection with the Registered Direct Offering.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DSE, DS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3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and NEXLIZET or other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and payment of potential debt maturities;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or commercialization arrangements on favorable terms, if at all;</w:t>
      </w:r>
    </w:p>
    <w:p>
      <w:pPr>
        <w:spacing w:after="0" w:line="225"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 and partnerships, including receiving potential milestone payments from collaboration partners;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w:t>
      </w:r>
    </w:p>
    <w:p>
      <w:pPr>
        <w:spacing w:after="0" w:line="21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Until such time, if ever, as we can generate substantial U.S. product revenues and collaboration royalties,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we may have to relinquish valuable rights to our technologies, future revenue streams or grant licenses on terms that may not be favorable to us. If we raise funds by selling additional equity, such sale would result in dilution to our stockholders. If we are unable to raise additional funds through equity or debt financings or through collaborations, strategic alliances or licensing arrangements or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the SEC rules.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in our Annual Report on Form 10-K for the fiscal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w:t>
      </w:r>
    </w:p>
    <w:p>
      <w:pPr>
        <w:ind w:right="26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2024,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2024,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Contingencies” in Note 5 to our condensed financial statements included elsewhere in this Quarterly Report on Form 10-Q and is incorporated by reference into this Item 1.</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or incorporated by reference, this Quarterly Report on Form 10-Q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Quarterly Report on Form 10-Q. Factors that could cause or contribute to these differences include, but are not limited to, those discussed in Part I, Item 2 entitled "Management's Discussion and Analysis of Financial Condition and Results of Operations" and elsewhere throughout this Quarterly Report on Form 10-Q and in any documents incorporated in this Quarterly Report on Form 10-Q by reference.</w:t>
      </w: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together with those set forth in Part I, Item 1A in our Annual Report on Form 10-K for the fiscal year ended December 31, 2023 and in all of the other information included or incorporated in this Quarterly Report on Form 10-Q. The following risk factors represent new risk factors or those containing changes, including material changes, to the risk factors set forth in Part I, Item 1A of our Annual Report on Form 10-K for the fiscal year ended December 31, 2023.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94"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commercial success will depend in part on our success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9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As of September 30, 2024, our patent estate, including patents we own, on a worldwide basis, included approximately 11 issued United States patents and 10 pending United States patent applications and over 30 issued patents and over 80 pending patent applications in other foreign jurisdictions. Of our worldwide patent estate, only a subset of our patents and pending patent applications relates to our bempedoic acid program.</w:t>
      </w:r>
    </w:p>
    <w:p>
      <w:pPr>
        <w:spacing w:after="0" w:line="20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Bempedoic acid is claimed in U.S. Patent No. 7,335,799 that is scheduled to expire in December 2030, which includes 711 days of patent term adjustment, and five years of patent term extension. We have one granted European patent that has been validated in numerous European countries including France, Germany, United Kingdom, Ireland, Italy, the Netherlands, Spain, Sweden and Switzerland. We obtained five year patent term extensions via supplementary protection certificates for 24 national patents validated from the granted European patent, which extends our patent protection in those countries until 2028. Additionally, we have one patent family that includes U.S. Patent Nos. 11,407,705 and 11,987,548, directed to methods of manufacturing high purity bempedoic acid, one pending U.S. patent application directed to the same, U.S. Patent No. 11,613,511 directed to compositions of matter of high purity bempedoic acid, one pending U.S. patent application directed to the same, U.S. Patent No. 11,760,714 directed to pharmaceutical formulations containing the same, and U.S. Patent No. 11,926,584 directed to methods of lowering low-density lipoprotein cholesterol (LDL-C) using the same and one pending U.S. patent application directed to methods of treatment using the same, and one granted patent and 18 pending patent applications outside of the United States. U.S. Patent Nos. 11,407,705, 11,613,511, 11,760,714, 11,926,584, and 11,987,548 and the other patent family members, if issued, are scheduled to expire in June 2040.</w:t>
      </w:r>
    </w:p>
    <w:p>
      <w:pPr>
        <w:spacing w:after="0" w:line="21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we have three patent families in which we are pursuing patent protection for our bempedoic acid and bempedoic acid / ezetimibe combination tablet in combination with one or more statins. Methods of treating patients with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familial hypercholesterolemia using the bempedoic acid / ezetimibe combination are claimed in U.S. Patent Nos. 10,912,751 and 11,744,816 that are scheduled to expire in March 2036. We also have one pending U.S. patent application, and nine issued patents and 11 pending applications outside the U.S. with claims directed to methods of treatment using the bempedoic acid / ezetimibe combination. Additionally, we have one pending U.S. patent application, and 9 issued patents and 24 pending applications outside the U.S. directed to the manufacturing of our bempedoic acid / ezetimibe combination tablet. We also have one issued U.S. patent, i.e., U.S. Patent No. 11,116,739, one pending U.S. patent application, and 11 issued patents and 13 pending applications outside the U.S., with claims directed to combinations of bempedoic acid and one or more statins and/or methods of using said combinations. U.S. Patent No. 11,116,739 is scheduled to expire in March 2036.</w:t>
      </w:r>
    </w:p>
    <w:p>
      <w:pPr>
        <w:spacing w:after="0" w:line="19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We may not have identified all patents, published applications or published literature that affect our business either by blocking our ability to commercialize our products and drug candidates, by preventing the patentability of one or more aspects of our products and drug candidates to us or our licensors or co-owners, or by covering the same or similar technologies that may affect our ability to market our products and drug candidates. For example, we (or the licensor of a drug candidate to us) may not have conducted a patent clearance search to identify potentially obstructing third party patents. Moreover, patent applications in the United States are maintained in confidence for up to 18 months after their filing. In some cases, however, patent applications remain confidential in the U.S. Patent and Trademark Office, or the USPTO,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or our licensors or co-owners were the first to invent, or the first to file, patent applications covering our products and drug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spacing w:after="0" w:line="22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Others may have filed patent applications or received patents that conflict with patents or patent applications that we own, have filed or have licensed, either by claiming the same methods, compounds or uses or by claiming methods, compounds or uses that could dominate those owned by or licensed to us. In addition, we may not be aware of all patents or patent applications that may affect our ability to make, use or sell any of our products or drug candidates. Any conflicts resulting from third-party patent applications and patents could affect our ability to obtain the necessary patent protection for our products or processes. If other companies or entities obtain patents with conflicting claims, we may be required to obtain licenses to these patents or to develop or obtain alternative technology. We may not be able to obtain any such licenses on acceptable terms or at all. Any failure to obtain such licenses could delay or prevent us from using discovery-related technology to pursue the development or commercialization of our products or drug candidates, which would adversely affect our business.</w:t>
      </w:r>
    </w:p>
    <w:p>
      <w:pPr>
        <w:spacing w:after="0" w:line="21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cannot assure you that any of our patents have, or that any of our pending patent applications will mature into issued patents that will include, claims with a scope sufficient to protect bempedoic acid or the bempedoic acid / ezetimibe combination or any other product candidates. Others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inter partes review and post-grant review proceedings, supplemental examination and may be challenged in district court. Patents granted in certain other countries may be subjected to revocation, opposition or comparable proceedings lodged in various national and regional patent offices, and national courts. These proceedings could result in either loss of the patent or denial of the patent application or loss or reduction in the scope of one or more of the claims of the patent or patent application. For example, a European Unified Patent Court (UPC) came into force during 2023. The UPC is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Moreover, such interference, re- examination, post-grant review, inter partes review, supplemental examination, opposition, or revocation proceedings may be costly. Thus, any patents that we may own or exclusively license may not provide any protection against competitors. Furthermore, an adverse decision in an interference proceeding can result in a third-party receiving the patent right sought by us, which in turn could affect our ability to develop, market or otherwise commercialize bempedoic acid and the bempedoic acid / ezetimibe combination tablet.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We have obtained a patent term extension in the United States for U.S. Patent No. 7,335,799 and have obtained supplementary protection certificates for one of the granted, counterpart European patents. In the United States, the Drug Price Competition and Patent Term Restoration Act of 1984 permits a patent term extension of up to five years beyond the normal expiration of the patent, but the total patent term including the restoration period must not exceed 14 years following FDA approval.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21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21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in any proceeding, a court invalidated or found unenforceable our patents covering bempedoic acid or the bempedoic acid / ezetimibe combination tablet, our financial position and results of operations would be materially and adversely impacted. In addition, if a court found that valid, enforceable patents held by third parties covered bempedoic acid or the bempedoic acid / ezetimibe combination tablet, our financial position and results of operations would also be materially and adversely impacted.</w:t>
      </w:r>
    </w:p>
    <w:p>
      <w:pPr>
        <w:spacing w:after="0" w:line="21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Furthermore, starting in March 2024, we received notices from nine pharmaceutical companies, six of which filed exclusively with respect to NEXLETOL and four of which filed with respect to NEXLETOL and NEXLIZET (each, an “ANDA Filer”), that each company had filed an Abbreviated New Drug Application, or ANDA, with the FDA seeking approval of a generic version of NEXLETOL and/or NEXLIZET, as applicable. The ANDAs each contained Paragraph IV certifications alleging that certain of our Orange Book listed patents covering NEXLETOL or NEXLIZET, as applicable, are invalid and/or will not be infringed by each ANDA Filer’s manufacture, use or sale of the medicine for which the ANDA was submitted. It is possible that one or more additional companies may file with the FDA an ANDA for a generic version of, or an 505(b)(2) NDA that references, one or both of bempedoic acid or bempedoic acid / ezetimibe combination tablet, in which the competitor would claim that our patents are invalid or not infringed. Competition that our approved products could face from an approved generic and other versions of our approved products could materially and adversely affect our future revenue, profitability, and cash flows and substantially limit our ability to obtain a return on the investments we have made in developing bempedoic acid or bempedoic acid / ezetimibe combination tablet. For further details, please see our risk factor entitled “</w:t>
      </w:r>
      <w:r>
        <w:rPr>
          <w:rFonts w:ascii="Times New Roman" w:cs="Times New Roman" w:eastAsia="Times New Roman" w:hAnsi="Times New Roman"/>
          <w:sz w:val="18"/>
          <w:szCs w:val="18"/>
          <w:i w:val="1"/>
          <w:iCs w:val="1"/>
          <w:color w:val="auto"/>
        </w:rPr>
        <w:t>If the FDA, EMA or other comparable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authorities approve generic or other versions of bempedoic acid or the bempedoic acid / ezetimibe combination tablet, the sales of our approved products could be adversely affected</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39" w:lineRule="exact"/>
        <w:rPr>
          <w:sz w:val="20"/>
          <w:szCs w:val="20"/>
          <w:color w:val="auto"/>
        </w:rPr>
      </w:pPr>
    </w:p>
    <w:p>
      <w:pPr>
        <w:ind w:left="660" w:right="3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and patent term sufficient to protect bempedoic acid or the bempedoic acid / ezetimibe combination tablet;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result in issued patents;</w:t>
      </w:r>
    </w:p>
    <w:p>
      <w:pPr>
        <w:spacing w:after="0" w:line="238"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bempedoic acid or the bempedoic acid / ezetimibe combination tablet in all of the jurisdictions we intend to pursue before our relevant patents expire;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valid and enforceable;</w:t>
      </w:r>
    </w:p>
    <w:p>
      <w:pPr>
        <w:spacing w:after="0" w:line="225"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or those of our licensors, will not infringe upon the patents of others.</w:t>
      </w:r>
    </w:p>
    <w:p>
      <w:pPr>
        <w:spacing w:after="0" w:line="225"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1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FDA, EMA or other comparable foreign regulatory authorities approve generic or other versions of bempedoic acid or the bempedoic acid / ezetimibe combination tablet, the sales of our approved products could be adversely affected.</w:t>
      </w:r>
    </w:p>
    <w:p>
      <w:pPr>
        <w:spacing w:after="0" w:line="185"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Once a new drug application, or NDA, is approved, the product covered thereby becomes a “reference listed drug” in the FDA’s publication, “Approved Drug Products with Therapeutic Equivalence Evaluations,” commonly known as the Orange Book. Under the Drug Price Competition and Patent Term Restoration Act of 1984, or the Hatch-Waxman Act to the Federal Food, Drug, and Cosmetic Act, or FDCA, a company may seek approval of generic versions of reference listed drugs through submission of ANDA,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0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Under the Hatch-Waxman Act, a company may also submit an NDA under Section 505(b)(2) of the FDCA that references the FDA’s prior approval of the innovator product. A 505(b)(2) NDA product may be for a new or improved version of the original innovator product. The Hatch-Waxman Act also provide for certain periods of regulatory exclusivity, which preclude FDA approval (or in some circumstances, FDA filing and review) of an ANDA or 505(b)(2) NDA until any applicable period of non-patent exclusivity for the reference listed drug has expired. For example, a new drug containing a new chemical entity, or NCE,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spacing w:after="0" w:line="212"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8"/>
          <w:szCs w:val="18"/>
          <w:color w:val="auto"/>
        </w:rPr>
        <w:t>In addition to the benefits of regulatory exclusivity, an innovator NDA holder may have patents claiming the active ingredient, product formulation or an approved use of the drug, which would be listed in the Orange Book. If there are patents listed in the Orange Book for a product, an ANDA or 505(b)(2) applicant that seeks to market its product before expiration of the innovator drug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or as lengthened or shortened by a court.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competitors could file ANDAs for generic versions or 505(b)(2) NDAs that reference our NEXLETOL and NEXLIZET products, which were granted marketing approval by the FDA on February 21, 2020 and February 26, 2020, respectively. For example, given that NEXLETOL was granted market exclusivity by the FDA on February 21, 2020, an ANDA or 505(b)(2) NDA referencing our NEXLETOL NDA may not be submitted to the FDA until the expiration of five years, e.g., February 21, 2025, unless the submission is accompanied by a Paragraph IV certification that a patent covering the reference listed drug is either invalid or will not be infringed by the generic or 505(b)(2) product, in which case the applicant may submit its application four years following approval of the reference listed drug, e.g., February 21, 2024, for NEXLETOL. Competitors may seek to launch generic or 505(b)(2) versions of NEXLETOL following the expiration of the applicable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exclusivity period for NEXLETOL, even if we still have regulatory exclusivity and/or patent protection for NEXLETOL, and the same could happen for any of our other drug products upon approval.</w:t>
      </w:r>
    </w:p>
    <w:p>
      <w:pPr>
        <w:spacing w:after="0" w:line="189"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Starting in March 2024, we received notices from each ANDA Filer that each company had filed an ANDA with the FDA seeking approval of a generic version of NEXLETOL and/or NEXLIZET, as applicable. The ANDAs each contained Paragraph IV certifications alleging that certain of our patents covering NEXLETOL or NEXLIZET, as applicable, are invalid and/or will not be infringed by each ANDA Filer’s manufacture, use or sale of the medicine for which the ANDA was submitted.</w:t>
      </w:r>
    </w:p>
    <w:p>
      <w:pPr>
        <w:spacing w:after="0" w:line="20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Beginning in May 2024, we filed patent infringement lawsuits under the Hatch-Waxman Act in the United States District Court, District of New Jersey, against each ANDA Filer. Our complaints allege that by filing the applicable ANDA, such ANDA Filer has infringed NEXLETOL’s and/or NEXLIZET’s Orange Book patents, as applicable, included in its Paragraph IV certifications, and seek an injunction preventing FDA from granting final approval of the ANDA before the expiration of the asserted patents, and a permanent injunction to prevent the ANDA Filer from commercializing a generic version of NEXLETOL and/or NEXLIZET, as applicable, until the expiration of the asserted patents. No trial date has been set.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such litigation will depend on the strength of the patents covering NEXLETOL or NEXLIZET, as applicable, and our ability to prove infringement. The outcome of such litigation will be inherently uncertain and may result in potential loss of market exclusivity for NEXLETOL and/or NEXLIZET. Competition that NEXLETOL or NEXLIZET could face from an approved generic and other versions of NEXLETOL or NEXLIZET could materially and adversely affect our future revenue, profitability, and cash flows and substantially limit our ability to obtain a return on the investments we have made in developing NEXLETOL and NEXLIZET. Furthermore, the Federal Trade Commission, or FTC, has brought lawsuits to challenge ANDA litigation settlements as anti-competitive. If we settle any ANDA litigation, we may also face an FTC challenge with respect to the related settlement which may result in additional expense or penalty.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(as defined in Rule 16a-1 under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gridSpan w:val="19"/>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9"/>
            <w:vMerge w:val="continue"/>
          </w:tcPr>
          <w:p>
            <w:pPr>
              <w:spacing w:after="0"/>
              <w:rPr>
                <w:sz w:val="17"/>
                <w:szCs w:val="17"/>
                <w:color w:val="auto"/>
              </w:rPr>
            </w:pPr>
          </w:p>
        </w:tc>
        <w:tc>
          <w:tcPr>
            <w:tcW w:w="11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2"/>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Amended and Restated Certificate of Incorporation of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3.2</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Registrant</w:t>
              </w:r>
            </w:hyperlink>
          </w:p>
        </w:tc>
        <w:tc>
          <w:tcPr>
            <w:tcW w:w="3060" w:type="dxa"/>
            <w:vAlign w:val="bottom"/>
            <w:tcBorders>
              <w:top w:val="single" w:sz="8" w:color="0000FF"/>
            </w:tcBorders>
            <w:gridSpan w:val="8"/>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2"/>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Certificate of Amendment to Amended and Restated Certificate of</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Incorporation of the Registrant</w:t>
              </w:r>
            </w:hyperlink>
          </w:p>
        </w:tc>
        <w:tc>
          <w:tcPr>
            <w:tcW w:w="23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4">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2"/>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Certificate of Validation relating to Certificate of Amendment to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Amended and Restated Certificate of Incorporation of the</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Registrant dated May 26, 2022</w:t>
              </w:r>
            </w:hyperlink>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5">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4</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2"/>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Certificate of Amendment No. 2 to Amended and Restated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15,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Certificate of Incorporation of the Registrant</w:t>
              </w:r>
            </w:hyperlink>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6">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5</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2"/>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Second Amended and Restated Bylaws of the Registrant dated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10-Q</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4, 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April 29, 2021</w:t>
              </w:r>
            </w:hyperlink>
          </w:p>
        </w:tc>
        <w:tc>
          <w:tcPr>
            <w:tcW w:w="3100" w:type="dxa"/>
            <w:vAlign w:val="bottom"/>
            <w:tcBorders>
              <w:top w:val="single" w:sz="8" w:color="0000FF"/>
            </w:tcBorders>
            <w:gridSpan w:val="9"/>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7">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2"/>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Specimen Common Stock Certificate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4.1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22"/>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Transition Agreement, dated August 3, 2024, by and between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10.1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5, 2024</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4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Company and JoAnne Foody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w w:val="99"/>
              </w:rPr>
              <w:t>14(a) and Rule 15d-14(a) of the Securities Exchange Act of 1934,</w:t>
            </w:r>
          </w:p>
        </w:tc>
        <w:tc>
          <w:tcPr>
            <w:tcW w:w="120" w:type="dxa"/>
            <w:vAlign w:val="bottom"/>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7"/>
                <w:szCs w:val="17"/>
                <w:color w:val="0000FF"/>
              </w:rPr>
              <w:t>+</w:t>
            </w: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 Financial</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440" w:type="dxa"/>
            <w:vAlign w:val="bottom"/>
            <w:tcBorders>
              <w:top w:val="single" w:sz="8" w:color="0000FF"/>
            </w:tcBorders>
            <w:gridSpan w:val="21"/>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1260" w:type="dxa"/>
            <w:vAlign w:val="bottom"/>
            <w:tcBorders>
              <w:top w:val="single" w:sz="8" w:color="0000FF"/>
            </w:tcBorders>
            <w:gridSpan w:val="10"/>
          </w:tcPr>
          <w:p>
            <w:pPr>
              <w:spacing w:after="0"/>
              <w:rPr>
                <w:sz w:val="12"/>
                <w:szCs w:val="12"/>
                <w:color w:val="auto"/>
              </w:rPr>
            </w:pPr>
          </w:p>
        </w:tc>
        <w:tc>
          <w:tcPr>
            <w:tcW w:w="220" w:type="dxa"/>
            <w:vAlign w:val="bottom"/>
            <w:gridSpan w:val="3"/>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101.DEF*</w:t>
            </w:r>
          </w:p>
        </w:tc>
        <w:tc>
          <w:tcPr>
            <w:tcW w:w="456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24"/>
                <w:szCs w:val="24"/>
                <w:color w:val="auto"/>
              </w:rPr>
            </w:pPr>
          </w:p>
        </w:tc>
        <w:tc>
          <w:tcPr>
            <w:tcW w:w="97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hanging="149"/>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52" w:lineRule="exact"/>
        <w:rPr>
          <w:rFonts w:ascii="Times New Roman" w:cs="Times New Roman" w:eastAsia="Times New Roman" w:hAnsi="Times New Roman"/>
          <w:sz w:val="18"/>
          <w:szCs w:val="18"/>
          <w:color w:val="auto"/>
        </w:rPr>
      </w:pPr>
    </w:p>
    <w:p>
      <w:pPr>
        <w:ind w:left="900" w:hanging="325"/>
        <w:spacing w:after="0" w:line="266" w:lineRule="auto"/>
        <w:tabs>
          <w:tab w:leader="none" w:pos="8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76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21"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Benjamin Halladay,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Esperion Therapeutics, Inc. (the “Company”) for the period ended September 30, 2024,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76" w:lineRule="exact"/>
        <w:rPr>
          <w:sz w:val="20"/>
          <w:szCs w:val="20"/>
          <w:color w:val="auto"/>
        </w:rPr>
      </w:pPr>
    </w:p>
    <w:p>
      <w:pPr>
        <w:ind w:left="660" w:right="340" w:hanging="652"/>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526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lvl w:ilvl="1">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62" Type="http://schemas.openxmlformats.org/officeDocument/2006/relationships/hyperlink" Target="https://www.sec.gov/Archives/edgar/data/1434868/000104746913006896/a2215641zex-3_2.htm" TargetMode="External"/><Relationship Id="rId63" Type="http://schemas.openxmlformats.org/officeDocument/2006/relationships/hyperlink" Target="https://www.sec.gov/Archives/edgar/data/1434868/000162828022015488/exhibit31.htm" TargetMode="External"/><Relationship Id="rId64" Type="http://schemas.openxmlformats.org/officeDocument/2006/relationships/hyperlink" Target="https://www.sec.gov/Archives/edgar/data/1434868/000162828022025245/exhibit31certificateofvali.htm" TargetMode="External"/><Relationship Id="rId65" Type="http://schemas.openxmlformats.org/officeDocument/2006/relationships/hyperlink" Target="https://www.sec.gov/Archives/edgar/data/1434868/000162828023022276/exhibit3162023.htm" TargetMode="External"/><Relationship Id="rId66" Type="http://schemas.openxmlformats.org/officeDocument/2006/relationships/hyperlink" Target="https://www.sec.gov/Archives/edgar/data/1434868/000162828021008918/ex31-secondamendedandresta.htm" TargetMode="External"/><Relationship Id="rId67" Type="http://schemas.openxmlformats.org/officeDocument/2006/relationships/hyperlink" Target="https://www.sec.gov/Archives/edgar/data/1434868/000104746913006896/a2215641zex-4_1.htm" TargetMode="External"/><Relationship Id="rId68" Type="http://schemas.openxmlformats.org/officeDocument/2006/relationships/hyperlink" Target="https://www.sec.gov/Archives/edgar/data/1434868/000162828024034766/exhibit101transi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2024-11-07T16:06:20Z</dcterms:created>
  <dcterms:modified xsi:type="dcterms:W3CDTF">2024-11-07T16:06:20Z</dcterms:modified>
</cp:coreProperties>
</file>